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administratīvās izmaksas - finansējuma saņēmēja projekta vadības un projekta īstenošanas personāla administratīvās izmaksas, kas paredzētas iestādes ikdienas darbības nodrošināšanai, lai organizācija varētu darboties, un kuras nav tieši saistītas ar projekta rezultātu sasniegšanu. Administratīvajās izmaksās ietilpst: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2. punktā neskaidrot terminus, piemēram, "administratīvās izmaksas", kuri noteikumu projekta pamattekstā tiek lietoti tikai vienu reizi, tā vietā nepieciešamības gadījumā atbilstošo termina skaidrojumu lūdzam ietvert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citas izmaksas, kas nav iekļautas projekta izmaksās, bet ir nepieciešamas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2.1.7. apakšpunktā vai tā anotācijā minēt konkrētus piemērus šajā apakšpunktā norādītajām citām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citas atbalstāmās darbības, kas saistītas ar strukturālo pārmaiņu īstenošanu un ir saskaņotas, apstiprinot konsolidācijas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atbalstāmās darbības ietvertas noteikumu projekta 19. punktā, bet 20.11. apakšpunkta (līdzīgi kā pārējo 20. punkta apakšpunktu) mērķis ir skaidrot, kādas darbības var ietvert sevī 19. punktā minētās atbalstāmās darbības, lūdzam noteikumu projekta 20.11. un 32.6. apakšpunktā svītrot vārdu "atbalstāmās". Papildus, ņemot vērā, ka no izziņas iepretim noteikumu projektam izriet, ka minētajām darbībām jābūt svarīgām strukturālo pārmaiņu īstenošanai, lūdzam izvērtēt un noteikumu projektā precīzāk noteikt, kādām jābūt minētajām darbībām, noteikumu projekta anotācijā skaidrojot (nepieciešamības gadījumā - piemērveidā), kādas darbības tās varētu būt.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komunikācijas pasākumu īstenošana, tajā skaitā, lai informētu par investīciju otrās kārtas projektu kā par stratēģiski svarīgu, atbilstoši ES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131. punktu atkārtoti lūdzam noteikumu projektā svītrot atsauces uz Eiropas Savienības fondu 2021.–2027. gada plānošanas perioda un Atveseļošanas fonda komunikācijas un dizaina vadlīnijām. Nepieciešamības gadījumā lūdzam minētās vadlīniju saturu pārņemt noteikumu projektā vai iekļaut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38.1.3. amortizācijas izmaksas (attiecināms uz finansējuma saņēmēja un sadarbības partneru projekta ietvaros iegādātajiem un rīcībā esošajiem pamatlīdzekļiem, 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normatīvajiem aktiem par nolietojuma normām un lietošanas nosacījumiem, kā arī labai grāmatvedības praksei;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38.1.3. un 38.3. apakšpunktā neatsaukties uz labu grāmatvedības praksi (atbilstoši atsauces svītrojot) vai alternatīvi lūdzam minētajās vienībās atsaukties uz ārējiem normatīvajiem tiesību aktiem, kas skaidro labas grāmatvedības prakses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Izmaksām, kas saistītas ar šo noteikumu </w:t>
            </w:r>
            <w:r w:rsidR="00000000" w:rsidRPr="00000000" w:rsidDel="00000000">
              <w:rPr>
                <w:rtl w:val="0"/>
              </w:rPr>
              <w:t xml:space="preserve">19.2.1.</w:t>
            </w:r>
            <w:r w:rsidR="00000000" w:rsidRPr="00000000" w:rsidDel="00000000">
              <w:rPr>
                <w:rtl w:val="0"/>
              </w:rPr>
              <w:t xml:space="preserve">,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darbību īstenošanu, piemēro budžeta projekta metodi atbilstoši nozares ministrijas izstrādātajai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noteikumu Nr. 108 131. punktu lūdzam noteikumu projekta 41. punktā svītrot atsauci uz nozares ministrijas izstrādāto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Nozares ministrija izvērtē un sniedz atzinumu atbalsta sniedzējam par finansējuma saņēmēja investīcijas otrās kārtas projekta iesnieguma atbilstību šādiem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regulēt arī kārtību (tai skaitā projekta iesnieguma izvērtēšanas termiņu), kādā nozares ministrija vērtē projekta iesnieguma iesniedzēju atbilstību citiem noteikumu projekta nosacījumiem (ne tikai kvalitātes kritērijiem). Norādām, ka nozares ministrijas iekšējie tiesību akti nav projekta iesnieguma iesniedzējiem juridiski saistoši, līdz ar to attiecīgo regulējumu nepieciešams ietvert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iekšējās kontroles sistēmas izstrādi, īstenošanu, uzraudzību (tai skaitā iekšējo auditu) un pilnveidi atbilstoši Atveseļošanas fonda īstenošanas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56.2. apakšpunktā skaidrot, kādos ārējos normatīvajos aktos iekļautas Atveseļošanas fonda īstenošanas prasības, vai svītrot atsauci uz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155. punktā ietverto iebildumu un, pamatojoties uz Ministru kabineta 2021. gada 7. septembra noteikumu Nr. 617 "Tiesību akta projekta sākotnējās ietekmes izvērtēšanas kārtība" 9.1. apakšpunktu, lūdzam noteikumu projekta anotācijā skaidrot pamatojumu tam, ka investīcijas otro kārtu paredzēts īstenot ierobežotas projektu atlases veidā, norādot attiecīgā noteikumu projekta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otrajai kārtai pieejamais finansējums ir līdz 58 489 180 </w:t>
            </w:r>
            <w:r w:rsidR="00000000" w:rsidRPr="00000000" w:rsidDel="00000000">
              <w:rPr>
                <w:i w:val="1"/>
                <w:rtl w:val="0"/>
              </w:rPr>
              <w:t xml:space="preserve">euro</w:t>
            </w:r>
            <w:r w:rsidR="00000000" w:rsidRPr="00000000" w:rsidDel="00000000">
              <w:rPr>
                <w:rtl w:val="0"/>
              </w:rPr>
              <w:t xml:space="preserve">, tai skaitā nepārsniedzot Atveseļošanas fonda finansējums – 53 695 700 </w:t>
            </w:r>
            <w:r w:rsidR="00000000" w:rsidRPr="00000000" w:rsidDel="00000000">
              <w:rPr>
                <w:i w:val="1"/>
                <w:rtl w:val="0"/>
              </w:rPr>
              <w:t xml:space="preserve">euro</w:t>
            </w:r>
            <w:r w:rsidR="00000000" w:rsidRPr="00000000" w:rsidDel="00000000">
              <w:rPr>
                <w:rtl w:val="0"/>
              </w:rPr>
              <w:t xml:space="preserve"> un valsts budžeta līdzfinansējums – 4 793 480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finansējuma  un valsts budžeta līdzfinansējuma apmērs nevar tikt pārsniegts, lūdzam precizēt noteikumu projekta 12. punktu, svītrojot norādi "tai skaitā", vai skaidrot, kāds vēl finansējums būs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51.11.3. citos gadījumos, ko paredz vienošanās par investīcijas otrās kārtas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51.11.3. un 51.11.4. apakšpunktu, samainot tos vietām un tādējādi nodrošinot strukturāli korektas un loģiski izklāstītas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pētniecības darbības tiek veiktas efektīvā sadarbībā, ja efektīva sadarbība atbilst Komisijas 2014. gada 17. jūnija Regulas (ES) Nr. 651/2014, ar ko noteiktas atbalsta kategorijas atzīst par saderīgām ar iekšējo tirgu, piemērojot Līguma 107. un 108. pantu (turpmāk – Komisijas regula Nr. 651/2014), 2. panta 90. punktā noteiktajai definīcijai un ja investīcijas otrās kārtas projekts paredz sadarbību ar vairākām neatkarīgām pusēm, nodrošinot atbilstību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saīsinājumu Komisijas 2014. gada 17. jūnija Regulai (ES) Nr. 651/2014, ar ko noteiktas atbalsta kategorijas atzīst par saderīgām ar iekšējo tirgu, piemērojot Līguma 107. un 108. pantu, atrunāt minētās regulas pirmajā pieminēšanas reizē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17.04.2023.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