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Diplomātiskā un konsulārā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aizsardzības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likumprojekta anotācijas 1.3. apakšpunkta "Pašreizējā situācija, problēmas un risinājumi" 14. panta ceturtās daļas risinājuma apraksta pēdējo teikumu, svītrojot vārdu "operatīvo".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to nodrošinātu, nepieciešams paredzēt, ka Ārlietu ministrija var lūgt Satversmes aizsardzības biroja profesionālu rekomendāciju, kā arī Satversmes aizsardzības birojs pats var sniegt Ārlietu ministrijai rekomendāciju, balstoties uz tā rīcībā esošo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Aleksis Valts Putniņš (SAB)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02.06.2026.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02.06.2026.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Atzinumi_26-TA-101.docx</dc:title>
</cp:coreProperties>
</file>

<file path=docProps/custom.xml><?xml version="1.0" encoding="utf-8"?>
<Properties xmlns="http://schemas.openxmlformats.org/officeDocument/2006/custom-properties" xmlns:vt="http://schemas.openxmlformats.org/officeDocument/2006/docPropsVTypes"/>
</file>