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Padures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(P10__MEZA_INVENTARIZACIJAS_DATI)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(P8__VIENOSANAS_03_05_2019_)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(P7__KULDIGAS_NOV__DOMES_25_02_2010__LEMUMS)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(P6__ZGR_dati__62725080007_)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(P5__ZGR_dati__62725080001_)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(P4_1__Ierosinajums)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(P3__KRP_dati)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(P2__Robezu_plani)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(P1__ZGR_dati)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(Pielikums__VL_Nr_20-190)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noteikts atļaut ēku (būvju) īpašniekiem, privatizējot nekustamo īpašumu “Keramika” (nekustamā īpašuma kadastra Nr. 62720080137), saskaņā ar Meža likuma 44.panta ceturtās daļas 3.punkta “a” apakšpunktu privatizēt arī zemes vienībā ar kadastra apzīmējumu 62720080137 ietilpstošo valsts meža zemi 0,4900 ha platībā, </w:t>
            </w:r>
            <w:r w:rsidR="00000000" w:rsidRPr="00000000" w:rsidDel="00000000">
              <w:rPr>
                <w:u w:val="single"/>
                <w:rtl w:val="0"/>
              </w:rPr>
              <w:t xml:space="preserve">kas nepieciešama ēku (būvju) uzturēšanai.</w:t>
            </w:r>
            <w:r w:rsidR="00000000" w:rsidRPr="00000000" w:rsidDel="00000000">
              <w:rPr>
                <w:rtl w:val="0"/>
              </w:rPr>
              <w:t xml:space="preserve"> Tieslietu ministrijas ieskatā, piemērojot Meža likuma 44.panta ceturtās daļas 3.punktu, nepieciešams izvērtēt šajā punktā ietverto kritēriju izpildīšanos katrā konkrētā gadījumā, un, kā secināms no rīkojuma projekta 1. punkta, šajā gadījumā nepieciešams izvērtēt kritēriju, ka zeme nepieciešama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pamatojumu attiecīgā kritērija piemērošanai konkrētajā gadījumā, piemēram, pamatojot, kādēļ Kuldīgas novada domes 2010.gada 25.februāra lēmumā Nr.3 „Par zemesgabala ar kadastra apzīmējumu 6272 008 0137 „Keramika”, Keramika, Padures pagastā, Kuldīgas novadā, sadalīšanu” ietvertais būtu uzskatāms par pamatu, lai secinātu, ka Meža likuma izpratnē ir izpildījies kritērijs - zeme nepieciešama būvju uzturēšanai (ja anotācijā uz to ir bijis mērķis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627200801373)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projektā un tā anotācijā precizēt privatizējamā nekustamā īpašuma kadastra numuru atbilstoši Padures pagasta zemesgrāmatas nodalījumā Nr.100000500985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ietverta informācija, ka uz rīkojuma projekta 1. punktā minētā privatizējamā zemesgabala atrodas divi patstāvīgi ēku (būvju) īpašumi, no kuriem viens pieder fiziskai personai, otrs - akciju sabiedrībai „Sadales tīkls”. Kā minēts rīkojuma projekta anotācijā, atbilstoši likuma „Par valsts un pašvaldību īpašuma objektu privatizāciju” 64.panta pirmajā daļā noteiktajam uz Zemesgabala esošo ēku (būvju) īpašniekiem ir tiesības uz Zemesgabala pirmpirkumu. Savukārt likuma „Par valsts un pašvaldību īpašuma objektu privatizāciju” 85. pantā noteikta kārtība pirmpirkuma tiesību realizācijai. Ņemot vērā, ka šāda situācija (kad ir divas vai vairāk pirmpirkuma tiesīgās personas) </w:t>
            </w:r>
            <w:r w:rsidR="00000000" w:rsidRPr="00000000" w:rsidDel="00000000">
              <w:rPr>
                <w:i w:val="1"/>
                <w:rtl w:val="0"/>
              </w:rPr>
              <w:t xml:space="preserve">expressis verbis</w:t>
            </w:r>
            <w:r w:rsidR="00000000" w:rsidRPr="00000000" w:rsidDel="00000000">
              <w:rPr>
                <w:rtl w:val="0"/>
              </w:rPr>
              <w:t xml:space="preserve"> iepriekš minētā likuma normās nav noregulēta, lūdzam papildināt anotāciju ar informāciju, kā šādos apstākļos tiek īstenota likumā noteiktā pirmpirkuma tiesību realizācijas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25.01.2023.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25.01.2023.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Atzinumi_22-TA-3762.docx</dc:title>
</cp:coreProperties>
</file>

<file path=docProps/custom.xml><?xml version="1.0" encoding="utf-8"?>
<Properties xmlns="http://schemas.openxmlformats.org/officeDocument/2006/custom-properties" xmlns:vt="http://schemas.openxmlformats.org/officeDocument/2006/docPropsVTypes"/>
</file>