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skaidrot, kādas vietas tiek uzskatāmas par publiskām vietām, lai būti vienota izpratne par regulējuma tvērumu.  Ja paredzēts, ka regulējums attiecās uz izglītības iestādēm, tad  lūdzu papildināt anotāciju ar minēto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skaidrot, kas tiek uzskatāms par publiskām vietām, lai būti vienota izpratne par vietām uzkurām attiecās minētais regulējums. Ja paredzēts, ka attiecās uz izglītības iestādēm, tad lūdzu papildināt anotāciju ar minēto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Mergupe-Kutraite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aizpildīt 3.sadaļu, tai skaitā norādot finansējuma avotu, ja regulējums attiecināms uz izglītības iestādēm, jo regulējumam šādā gaījumā būs ietekme gan uz valsts, gan uz pašvaldību budžetu. Vēršam uzmanību, ka Izglītības un zinātnes ministrija padotībā ir vairākas izglītības iestādes, tai skaitā Murjāņu sporta ģimnāzija, profesionālās izglītības iestādes un koledžas.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aizpildīt 3.sadaļu, ja regulējums attiecināms uz izglītības iestādēm, jo regulējumam būs ietekme gan uz valsts, gan uz pašvaldību budžetu. Vēršam uzmanību, ka Izglītības un zinātnes ministrija padotībā ir vairākas izglītības iestādes, tai skaitā Murjāņu sporta ģimnāzija; profesionālās izglītības iestādes un koledžas.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Mergupe-Kutraite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18.05.2023. 18.30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18.05.2023. 18.30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