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apgalvojums vai paziņojums jebkādā formā, tostarp teksts, ilustrēts, grafisks vai simbolisks atveidojums kā, piemēram, marķējumi, zīmolu, uzņēmumu vai produktu nosaukumi saistībā ar tādu komercpaziņojumu, kas tiešā vai netiešā veidā norāda, ka precei, preču kategorijai, zīmolam vai tirgotājam ir pozitīva ietekme uz vidi vai, ka tiem nav ietekmes uz vidi, vai ka negatīvā ietekme uz vidi ir mazāka nekā citam precēm, preču kategorijām, zīmoliem vai tirgotājiem, vai ka šī ietekme laika gaitā ir uzlabojusies, un šī norāde nav Eiropas Savienības vai valsts tiesību aktos jau noteikta kā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procesu vai uzņēmumu, atsaucoties uz to vides vai sociālajiem raksturlielumiem, vai abiem, un šī zīme nav Eiropas Savienības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process vai uzņēmums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tirgotājiem,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tirgotāja izmantoto ilgtspējas marķējumu, kā arī nosaka citas procedūras, kā rīkoties situācijas, kad netiek ievērotas šai shēmai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tirgotāja atbilstība shēmas prasībām tiek uzraudzīta saskaņā ar objektīvu procedūru, ko veic trešā puse, kuras kompetence un neatkarība gan no tirgotāja, gan no shēmas īpašnieka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augstāka līmeņa vides sniegums saskaņā ar citiem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komponents, kas tiek lietots atkārtoti un kas ir jāaizstāj vai jāpapildina, lai prece darbotos, atbilstoši mērķim, kādam tā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likumprojektā termina "vides norāde" skaidrojumā norādīt uz produktiem, nevis precēm, ievērojot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(turpmāk - direktīva Nr. 2024/825), 1. panta 1. punkta "b" apakšpunktā ietvertā termina skaidrojumu. Līdzīgi arī cituviet lūdzam izvērtēt un nepieciešamības gadījumā precizēt likumprojektu vai skaidrot likumprojekta anotācijā, kādēļ atsevišķas prasības attiecas vienīgi uz precēm, bet ne pakalpojumiem, digitāliem pakalpojumiem, digitālo saturu (kā arī, piemēram, kādēļ atsevišķas prasības attiecas vienīgi uz precēm un pakalpojumiem, bet ne, piem., digitālo saturu)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apgalvojums vai paziņojums jebkādā formā, tostarp teksts, ilustrēts, grafisks vai simbolisks atveidojums kā, piemēram, marķējumi, zīmolu, uzņēmumu vai produktu nosaukumi saistībā ar tādu komercpaziņojumu, kas tiešā vai netiešā veidā norāda, ka precei, preču kategorijai, zīmolam vai tirgotājam ir pozitīva ietekme uz vidi vai, ka tiem nav ietekmes uz vidi, vai ka negatīvā ietekme uz vidi ir mazāka nekā citam precēm, preču kategorijām, zīmoliem vai tirgotājiem, vai ka šī ietekme laika gaitā ir uzlabojusies, un šī norāde nav Eiropas Savienības vai valsts tiesību aktos jau noteikta kā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procesu vai uzņēmumu, atsaucoties uz to vides vai sociālajiem raksturlielumiem, vai abiem, un šī zīme nav Eiropas Savienības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process vai uzņēmums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tirgotājiem,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tirgotāja izmantoto ilgtspējas marķējumu, kā arī nosaka citas procedūras, kā rīkoties situācijas, kad netiek ievērotas šai shēmai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tirgotāja atbilstība shēmas prasībām tiek uzraudzīta saskaņā ar objektīvu procedūru, ko veic trešā puse, kuras kompetence un neatkarība gan no tirgotāja, gan no shēmas īpašnieka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augstāka līmeņa vides sniegums saskaņā ar citiem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komponents, kas tiek lietots atkārtoti un kas ir jāaizstāj vai jāpapildina, lai prece darbotos, atbilstoši mērķim, kādam tā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likumprojekta 1. pantu un citas likuma vienības, termina "uzņēmums" (attiecīgā skaitlī un locījumā)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ietvaros tiek sniegta informācija par vides norādēm saistībā ar turpmāko ar vidi saistīto sniegumu, ja netiek norādītas objektīvas, skaidras, publiski pieejamas un pārbaudāmas apņemšanās, kas ir izklāstītas detalizētā un reālistiskā īstenošanas plānā, kurā tostarp ir ietverti arī laikā ierobežoti un izmērāmi mērķrādītāji un citi būtiski elementi kā resursu sadale, kas ir nepieciešami, lai sekmētu norādītā plāna īstenošanu, un šo plānu regulāri verificē trešās puses eksperts, kurš konstatētos faktos dara pieejamus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komercprakses īstenotājs reklamē patērētājiem tādus ieguvumus, kuri nav saistīti ar kādām no preces vai uzņēmuma iezīmēm un kuri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pakalpojuma, digitālā pakalpojuma vai digitālā satura esamību, raksturu un galvenās īpašības, piemēram, preces, pakalpojuma, digitālā pakalpojuma vai digitālā satura pieejamību; ieguvumus no preces, pakalpojuma, digitālā pakalpojuma vai digitālā satura; ar preci, pakalpojumu, digitālo pakalpojumu vai digitālo saturu saistītos riskus; preces, pakalpojuma, digitālā pakalpojuma vai digitālā satura darbību, sastāvu, piederumus, preces, pakalpojuma vides vai sociālos raksturlielumus un apritīguma aspektus kā ilgizturība, remontējamība vai reciklējamība, pēcpārdošanas apkalpošanu un sūdzību izskatīšanas kārtību; ražošanas un piegādes metodi un datumu; piegādes apstākļus; preces, pakalpojuma, digitālā pakalpojuma vai digitālā satura nolūku, lietošanu, daudzumu, specifikācijas, ģeogrāfisko vai komerciālo izcelsmi; paredzamos preces, pakalpojuma, digitālā pakalpojuma vai digitālā satura lietošanas rezultātus; preces, pakalpojuma, digitālā pakalpojuma vai digitālā satura testēšanas vai pārbaudes rezultātus vai citas būtiskas īpašības;”;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2. pantā (nepieciešamības gadījumā arī cituviet) nav jānorāda uz komercprakses ietvaros sniegtām vides norādēm, nevis informācija par vides norādēm vai sniegtām vides norādēm. Nepieciešamības gadījumā lūdzam atbilstoši precizēt likumprojekta 2. pantu vai skaidrot, kādēļ tas nav nepieciešams, tostarp norādot, kāda informācija pa vides norādēm tiek sniegta.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ietvaros tiek sniegta vides norāde saistībā ar turpmāko ar vidi saistīto sniegumu, ja netiek norādītas objektīvas, skaidras, publiski pieejamas un pārbaudāmas apņemšanās, kas ir izklāstītas detalizētā un reālistiskā īstenošanas plānā, kurā tostarp ir ietverti arī laikā ierobežoti un izmērāmi mērķrādītāji un citi būtiski elementi kā resursu sadale, kas ir nepieciešami, lai sekmētu norādītā plāna īstenošanu, un šo plānu regulāri verificē trešās puses eksperts, kurš konstatētos faktos dara pieejamus patērētājiem;"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ietvaros tiek sniegta informācija par vides norādēm saistībā ar turpmāko ar vidi saistīto sniegumu, ja netiek norādītas objektīvas, skaidras, publiski pieejamas un pārbaudāmas apņemšanās, kas ir izklāstītas detalizētā un reālistiskā īstenošanas plānā, kurā tostarp ir ietverti arī laikā ierobežoti un izmērāmi mērķrādītāji un citi būtiski elementi kā resursu sadale, kas ir nepieciešami, lai sekmētu norādītā plāna īstenošanu, un šo plānu regulāri verificē trešās puses eksperts, kurš konstatētos faktos dara pieejamus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komercprakses īstenotājs reklamē patērētājiem tādus ieguvumus, kuri nav saistīti ar kādām no preces vai uzņēmuma iezīmēm un kuri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pakalpojuma, digitālā pakalpojuma vai digitālā satura esamību, raksturu un galvenās īpašības, piemēram, preces, pakalpojuma, digitālā pakalpojuma vai digitālā satura pieejamību; ieguvumus no preces, pakalpojuma, digitālā pakalpojuma vai digitālā satura; ar preci, pakalpojumu, digitālo pakalpojumu vai digitālo saturu saistītos riskus; preces, pakalpojuma, digitālā pakalpojuma vai digitālā satura darbību, sastāvu, piederumus, preces, pakalpojuma vides vai sociālos raksturlielumus un apritīguma aspektus kā ilgizturība, remontējamība vai reciklējamība, pēcpārdošanas apkalpošanu un sūdzību izskatīšanas kārtību; ražošanas un piegādes metodi un datumu; piegādes apstākļus; preces, pakalpojuma, digitālā pakalpojuma vai digitālā satura nolūku, lietošanu, daudzumu, specifikācijas, ģeogrāfisko vai komerciālo izcelsmi; paredzamos preces, pakalpojuma, digitālā pakalpojuma vai digitālā satura lietošanas rezultātus; preces, pakalpojuma, digitālā pakalpojuma vai digitālā satura testēšanas vai pārbaudes rezultātus vai citas būtiskas īpašības;”;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2. pantā izslēgt vārdu "būtiski", ievērojot, ka no direktīvas Nr. 2024/825 attiecīgs priekšnosacījums neizriet, vai alternatīvi lūdzam likumprojekta anotācijā skaidrot pamatojumu minētā priekšnosacījuma atbilstībai direktīvā noteiktajam, kā arī skaidrot, kādos gadījumos elementi tiks novērtēti kā būtiski. Līdzīgi, nolūkā nodrošināt atbilstību minētajā direktīvā noteiktajam, lūdzam papildināt likumprojekta 2. pantu ar norādi, ka trešās puses eksperts ir neatkarīgs.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pantu ar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 29., 30., 31., 32., 33. un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izmanto tādu ilgtspējas marķējumu, kas nav balstīts uz sertifikācijas shēmu vai kuru nav noteikušas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sniedz vispārinātu vides norādi, nespējot pierādīt ar šo norādi saistītu atzītu izcilu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sniedz vides norādi attiecībā uz visu preci vai konkrēto uzņēmumu, ja šī norāde attiecas tikai uz kādu konkrētu preces aspektu vai uzņēmuma specifisku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sniedz norādi, pamatojoties uz siltumnīcefekta gāzu emisiju kompensēšanu, ka siltumnīcefekta gāzu emisiju ziņā precei ir neitrāla, samazināta vai pozitīva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norāda kā īpašu tirgotāja piedāvājuma iezīmi tādas prasības, kas visām attiecīgās preču kategorijas precēm Eiropas Savienības tirgū ir noteiktas ar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noklusē informāciju par to, ka programmatūras atjauninājums negatīvi ietekmēs preču ar digitāliem elementiem darbību vai digitālā satura vai digitālā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norāda programmatūras atjauninājumus precēm ar digitāliem elementiem, digitālajam saturam vai digitālajiem pakalpojumiem kā nepieciešamus, lai gan faktiski tie uzlabo tikai funkcionalitātes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sniedz jebkādu komercpaziņojumu par preci, kurā ir iestrādāta preces ilgizturību ierobežojoša funkcija, kaut gan tirgotājam ir pieejama informācija par attiecīgo funkciju un tās ietekmi uz preces ilgizturību;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sniedz patiesībai neatbilstošu informāciju par to, ka precei normālas lietošanas apstākļos ir konkrēta ilgizturība attiecībā uz lietošanas laiku vai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raksturo preci kā tādu, ko ir iespējams remontēt, lai gan remonts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rosina patērētāju nomainīt vai iegādāties papildus preces patērējamās sastāvdaļas ātrāk nekā tas ir nepieciešams kādu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noklusē informāciju par preces funkcionalitātes pasliktināšanos gadījumā, ja tiek izmantotas tādas patērējamās sastāvdaļas, rezerves daļas vai citi piederumi, kurus nenodrošina preces sākotnējais ražotājs, vai ja sniedz patiesībai neatbilstošu informāciju par to, ka notiks šāda preces funkcionalitātes pasliktināšanās.”;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likumprojekta anotācijā ietverto informāciju ar likumprojektā ietverto regulējumu. Vēršam uzmanību, ka, piemēram, anotācijā minēts, ka par maldinošu komercpraksi jebkuros apstākļos uzskatāms, ja komercprakses īstenotājs izvieto ilgtspējas marķējumu, kurš nav balstīts uz sertifikācijas shēmu, attiecīgi nenodrošinot, ka šis marķējums atbilst minimālajiem pārredzamības un ticamības nosacījumiem, savukārt likumprojektā norādīts, ka komercprakse jebkuros apstākļos ir maldinoša, ja komercprakses īstenotājs izmanto tādu ilgtspējas marķējumu, kas nav balstīts uz sertifikācijas shēmu vai kuru nav noteikušas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likumprojekta anotācijā skaidrot, kādos normatīvajos aktos paredzēta kompetence valsts pārvaldes iestādēm noteikt ilgtspējas marķējumu. Nepieciešamības gadījumā lūdzam papildināt likumprojekta 4. pantu ar atbilstošu atsauci uz attiecīgajiem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2024. gada 6. martā stājās spēkā direktīva Nr. 2024/825, ko sāk piemērot no 2024. gada 26. marta. Saistībā ar minēto vēršam uzmanību, ka saskaņā ar minētās direktīvas 4. pantu dalībvalstis līdz 2026. gada 27. martam pieņem un publicē noteikumus, kas vajadzīgi, lai izpildītu šīs direktīvas prasības. Dalībvalstis par to tūlīt informē Komisiju. </w:t>
            </w:r>
            <w:r w:rsidR="00000000" w:rsidRPr="00000000" w:rsidDel="00000000">
              <w:rPr>
                <w:u w:val="single"/>
                <w:rtl w:val="0"/>
              </w:rPr>
              <w:t xml:space="preserve">Tās piemēro minētos noteikumus no 2026. gada 27. septembra</w:t>
            </w:r>
            <w:r w:rsidR="00000000" w:rsidRPr="00000000" w:rsidDel="00000000">
              <w:rPr>
                <w:rtl w:val="0"/>
              </w:rPr>
              <w:t xml:space="preserve">. Attiecīgi secināms, ka minētās direktīvas pārņemšanas termiņš ir 2026. gada 27. marts, bet dalībvalstīm, pārņemot minēto direktīvu, nacionālajos tiesību aktos ir tiesības noteikt pārejas periodu, paredzot, ka šie akti stāsies spēkā ne vēlāk kā 2026. gada 27. septembrī. Ievērojot minēto, lūdzam izvērtēt un nepieciešamības gadījumā papildināt likumprojektu ar atbilstošu spēkā stāšanās termiņu vai sniegt likumprojekta anotācijā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likumprojekta anotācijas 5.4. sadaļas 1. tabulu ar informāciju par direktīvas Nr. 2024/825 1. panta 1. punktā, 2. panta 1.-5. punktā, kā arī 4. pantā ietvertā regulējuma pārņemšanu nacionālajā tiesību sistēmā (tostarp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papildinot atbilstoši Ministru kabineta 2009. gada 3. februāra noteikumu Nr. 108 "Normatīvo aktu projektu sagatavošanas noteikumi" (turpmāk - noteikumi Nr. 108) 68.3.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apgalvojums vai paziņojums jebkādā formā, tostarp teksts, ilustrēts, grafisks vai simbolisks atveidojums kā, piemēram, marķējumi, zīmolu, uzņēmumu vai produktu nosaukumi saistībā ar tādu komercpaziņojumu, kas tiešā vai netiešā veidā norāda, ka precei, preču kategorijai, zīmolam vai tirgotājam ir pozitīva ietekme uz vidi vai, ka tiem nav ietekmes uz vidi, vai ka negatīvā ietekme uz vidi ir mazāka nekā citam precēm, preču kategorijām, zīmoliem vai tirgotājiem, vai ka šī ietekme laika gaitā ir uzlabojusies, un šī norāde nav Eiropas Savienības vai valsts tiesību aktos jau noteikta kā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procesu vai uzņēmumu, atsaucoties uz to vides vai sociālajiem raksturlielumiem, vai abiem, un šī zīme nav Eiropas Savienības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process vai uzņēmums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tirgotājiem,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tirgotāja izmantoto ilgtspējas marķējumu, kā arī nosaka citas procedūras, kā rīkoties situācijas, kad netiek ievērotas šai shēmai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tirgotāja atbilstība shēmas prasībām tiek uzraudzīta saskaņā ar objektīvu procedūru, ko veic trešā puse, kuras kompetence un neatkarība gan no tirgotāja, gan no shēmas īpašnieka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augstāka līmeņa vides sniegums saskaņā ar citiem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komponents, kas tiek lietots atkārtoti un kas ir jāaizstāj vai jāpapildina, lai prece darbotos, atbilstoši mērķim, kādam tā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1. pantā terminu skaidrojumos ietvertās atsauces uz Eiropas Savienības tiesību aktiem un valsts tiesību aktiem aizstāt ar atsaucēm uz tieši piemērojamiem Eiropas Savienības tiesību aktiem un nacionālajiem normatīvajiem aktiem, ievērojot, ka atbilstoši noteikumiem Nr. 108 atsauces nacionālajos normatīvajos aktos pieļaujamas vienīgi uz tieši piemērojamiem Eiropas Savienības normatīvajiem aktiem (regulām un dibināšanas līgumiem). Skaidrojam, ka par tieši piemērojamiem Eiropas Savienības tiesību aktiem ir pamats uzskatīt dibināšanas līgumus, regulas un lēmumus, kas adresēti dalībvalstīm (lai tos attiecinātu uz privātpersonām, šie lēmumi pārņemami līdzīgi, kā tiek pārņemtas direktīvu prasības), savukārt direktīvas nav tieši piemērojamas un to prasības ir pārņemamas nacionālajos normatīvajos tiesību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24-TA-1401</w:t>
    </w:r>
    <w:r>
      <w:br/>
    </w:r>
    <w:r w:rsidR="00000000" w:rsidRPr="00000000" w:rsidDel="00000000">
      <w:rPr>
        <w:rtl w:val="0"/>
      </w:rPr>
      <w:t xml:space="preserve">Izdrukāts 30.09.2024.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24-TA-1401</w:t>
    </w:r>
    <w:r>
      <w:br/>
    </w:r>
    <w:r w:rsidR="00000000" w:rsidRPr="00000000" w:rsidDel="00000000">
      <w:rPr>
        <w:rtl w:val="0"/>
      </w:rPr>
      <w:t xml:space="preserve">Izdrukāts 30.09.2024.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Atzinumi_24-TA-1401.docx</dc:title>
</cp:coreProperties>
</file>

<file path=docProps/custom.xml><?xml version="1.0" encoding="utf-8"?>
<Properties xmlns="http://schemas.openxmlformats.org/officeDocument/2006/custom-properties" xmlns:vt="http://schemas.openxmlformats.org/officeDocument/2006/docPropsVTypes"/>
</file>