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grozāmo Ministru kabineta noteikumu 12.</w:t>
            </w:r>
            <w:r w:rsidR="00000000" w:rsidRPr="00000000" w:rsidDel="00000000">
              <w:rPr>
                <w:vertAlign w:val="superscript"/>
                <w:rtl w:val="0"/>
              </w:rPr>
              <w:t xml:space="preserve">1</w:t>
            </w:r>
            <w:r w:rsidR="00000000" w:rsidRPr="00000000" w:rsidDel="00000000">
              <w:rPr>
                <w:rtl w:val="0"/>
              </w:rPr>
              <w:t xml:space="preserve"> punktā ietvertā vārda </w:t>
            </w:r>
            <w:r w:rsidR="00000000" w:rsidRPr="00000000" w:rsidDel="00000000">
              <w:rPr>
                <w:u w:val="single"/>
                <w:rtl w:val="0"/>
              </w:rPr>
              <w:t xml:space="preserve">"vismaz"</w:t>
            </w:r>
            <w:r w:rsidR="00000000" w:rsidRPr="00000000" w:rsidDel="00000000">
              <w:rPr>
                <w:rtl w:val="0"/>
              </w:rPr>
              <w:t xml:space="preserve"> atbilstību Publiskas personas finanšu līdzekļu un mantas izšķērdēšanas novēršanas likuma 6.1 panta trešās daļas pilnvarojumam, neatbilstības gadījumā svītrojot minēto vārdu un papildinot 12.</w:t>
            </w:r>
            <w:r w:rsidR="00000000" w:rsidRPr="00000000" w:rsidDel="00000000">
              <w:rPr>
                <w:vertAlign w:val="superscript"/>
                <w:rtl w:val="0"/>
              </w:rPr>
              <w:t xml:space="preserve">1</w:t>
            </w:r>
            <w:r w:rsidR="00000000" w:rsidRPr="00000000" w:rsidDel="00000000">
              <w:rPr>
                <w:rtl w:val="0"/>
              </w:rPr>
              <w:t xml:space="preserve"> punktu ar citiem kritērijiem attiecīgā nomas līguma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kabinets saskaņā ar Ministru kabineta iekārtas likuma 31.panta pirmās daļas 1. punktu var izdot ārējus normatīvos aktus — noteikumus, ja likums Ministru kabinetu tam īpaši pilnvarojis. Pilnvarojumā norāda tā galvenos satura virzienus. Lai noskaidrotu, vai likums pilnvaroja Ministru kabinetu pieņemt tādu normu, [..] ir jānoskaidro pilnvarojuma mērķis un apjoms (sk., Satversmes tiesas 2011. gada 11. janvāra sprieduma lietā Nr.2010-40-03 "Par Ministru kabineta 2007. gada 6. marta noteikumu Nr.173 "Transportlīdzekļu vadītāja kvalifikācijas iegūšanas, transportlīdzekļu vadīšanas tiesību iegūšanas un atjaunošanas kārtība un vadītāja apliecības izsniegšanas, apmaiņas un atjaunošanas kārtība" 40. punkta pirmā teikuma atbilstību Latvijas Republikas Satversmes 64. pantam"[1] 9. punktu. Vēršam uzmanību, ka izstrādāto noteikumu projektu paredzēts izdot uz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trešās daļas pilnvarojuma pamata (redakcijā, kas stāsies spēkā 2026. gada 1. janvārī). Saskaņā ar minēto deleģējošo normu Ministru kabinets ir pilnvarots noteikt publiskas personas mantas iznomāšanas kārtību un </w:t>
            </w:r>
            <w:r w:rsidR="00000000" w:rsidRPr="00000000" w:rsidDel="00000000">
              <w:rPr>
                <w:b w:val="1"/>
                <w:rtl w:val="0"/>
              </w:rPr>
              <w:t xml:space="preserve">kritērijus</w:t>
            </w:r>
            <w:r w:rsidR="00000000" w:rsidRPr="00000000" w:rsidDel="00000000">
              <w:rPr>
                <w:rtl w:val="0"/>
              </w:rPr>
              <w:t xml:space="preserve"> nomas līguma termiņa noteikšanai, ja slēdz šā panta pirmajā daļā minēto nekustamā īpašuma nomas līgumu uz laiku, kas ilgāks par sešiem gadiem, nomas maksas noteikšanas metodiku un to izņēmumus, kā arī atsevišķus nomas līgumā ietveramos tipveida nosacījumus. Līdz ar to likums deleģē Ministru kabinetu</w:t>
            </w:r>
            <w:r w:rsidR="00000000" w:rsidRPr="00000000" w:rsidDel="00000000">
              <w:rPr>
                <w:b w:val="1"/>
                <w:rtl w:val="0"/>
              </w:rPr>
              <w:t xml:space="preserve"> noteikt izsmeļošu kritēriju uzskaitījumu, kas ņemams vērā, nosakot nomas līguma termiņu, nevis tikai dažus no tiem, pārējo noteikšanu atstājot iznomātāja ziņā, kā tas izriet no anotācijas 1.3.</w:t>
            </w:r>
            <w:r w:rsidR="00000000" w:rsidRPr="00000000" w:rsidDel="00000000">
              <w:rPr>
                <w:rtl w:val="0"/>
              </w:rPr>
              <w:t xml:space="preserve"> </w:t>
            </w:r>
            <w:r w:rsidR="00000000" w:rsidRPr="00000000" w:rsidDel="00000000">
              <w:rPr>
                <w:b w:val="1"/>
                <w:rtl w:val="0"/>
              </w:rPr>
              <w:t xml:space="preserve">sadaļā ietvertā "Risinājuma apraksta", </w:t>
            </w:r>
            <w:r w:rsidR="00000000" w:rsidRPr="00000000" w:rsidDel="00000000">
              <w:rPr>
                <w:rtl w:val="0"/>
              </w:rPr>
              <w:t xml:space="preserve">t.i., tajā norādīts, ka papildus noteiktajiem kritērijiem iznomātājs var ņemt vērā arī citus būtiskus objektīvus apstākļus, kas varētu ietekmēt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http://www.vestnesis.lv/index.php?menu=doc&amp;id=224196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Ietekmes aprakstu, </w:t>
            </w:r>
            <w:r w:rsidR="00000000" w:rsidRPr="00000000" w:rsidDel="00000000">
              <w:rPr>
                <w:rtl w:val="0"/>
              </w:rPr>
              <w:t xml:space="preserve">jo grozāmie noteikumi un izstrādātie grozījumi tajos nav attiecināmi uz valsts vai pašvaldības neapbūvēta zemesgabala apbūves tiesību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w:t>
            </w:r>
            <w:r w:rsidR="00000000" w:rsidRPr="00000000" w:rsidDel="00000000">
              <w:rPr>
                <w:u w:val="single"/>
                <w:rtl w:val="0"/>
              </w:rPr>
              <w:t xml:space="preserve">visiem projektiem</w:t>
            </w:r>
            <w:r w:rsidR="00000000" w:rsidRPr="00000000" w:rsidDel="00000000">
              <w:rPr>
                <w:rtl w:val="0"/>
              </w:rPr>
              <w:t xml:space="preserve"> aizpilda šo noteikumu 14.7. apakšpunktā minēto anotācijas sadaļu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Aprakstu"</w:t>
            </w:r>
            <w:r w:rsidR="00000000" w:rsidRPr="00000000" w:rsidDel="00000000">
              <w:rPr>
                <w:rtl w:val="0"/>
              </w:rPr>
              <w:t xml:space="preserve">, jo grozāmie noteikumi un izstrādātie grozījumi tajos nav attiecināmi uz valsts vai pašvaldības neapbūvēta zemesgabala apbūves tiesību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"Aprakstu"</w:t>
            </w:r>
            <w:r w:rsidR="00000000" w:rsidRPr="00000000" w:rsidDel="00000000">
              <w:rPr>
                <w:rtl w:val="0"/>
              </w:rPr>
              <w:t xml:space="preserve">, jo grozāmie noteikumi un izstrādātie grozījumi tajos nav attiecināmi uz valsts vai pašvaldības neapbūvēta zemesgabala apbūves tiesību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objektā vai būvē saistība ar pašvaldības attīstības mērķu sasniegšanu vai nacionālās vai reģionālās attīstības plānošanas dokumentos noteiktajām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grozāmā tiesību norma ietverta noteikumu 2.1. apakšnodaļā </w:t>
            </w:r>
            <w:r w:rsidR="00000000" w:rsidRPr="00000000" w:rsidDel="00000000">
              <w:rPr>
                <w:b w:val="1"/>
                <w:rtl w:val="0"/>
              </w:rPr>
              <w:t xml:space="preserve">"Vispārīgie iznomāšanas noteikumi"</w:t>
            </w:r>
            <w:r w:rsidR="00000000" w:rsidRPr="00000000" w:rsidDel="00000000">
              <w:rPr>
                <w:rtl w:val="0"/>
              </w:rPr>
              <w:t xml:space="preserve">, kas attiecināmi uz jebkuras publiskas personas mantas iznomāšanu, aicinām piedāvāto kritēriju noformēt elastīgāku, attiecinot to tikai uz tiem nomas līgumiem, kuros iznomātājs  </w:t>
            </w:r>
            <w:r w:rsidR="00000000" w:rsidRPr="00000000" w:rsidDel="00000000">
              <w:rPr>
                <w:u w:val="single"/>
                <w:rtl w:val="0"/>
              </w:rPr>
              <w:t xml:space="preserve">ir pašvaldība</w:t>
            </w:r>
            <w:r w:rsidR="00000000" w:rsidRPr="00000000" w:rsidDel="00000000">
              <w:rPr>
                <w:rtl w:val="0"/>
              </w:rPr>
              <w:t xml:space="preserve">, jo tajos nekustamā īpašuma nomas gadījumos, kad iznomātājs nav pašvaldība, bet gan cita publiska persona,  ne vienmēr būs nepieciešams nomnieka finanšu līdzekļus ieguldīt pašvaldības objektā vai būvē.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25.09.2025.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25.09.2025.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