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8. augusta noteikumos Nr. 443 "Eiropas Savienības Atveseļošanas un noturības mehānisma plāna 1.2. reformu un investīciju virziena "Energoefektivitātes uzlabošana" 1.2.1.4.i. investīcijas "Energoefektivitātes uzlabošana valsts sektora ēkās, t. sk. vēsturiskajās ēkās"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pielikuma 4. un 6.punkts ir precizēts atbilstoši anotācijā "Risinājumu apraksts" 4.punktā noteiktam, ka noteikumu projekta pielikums tiek precizēts, kolonnā "Paredzamā būvdarbu līguma summa (ar PVN), euro" norādot faktisko izmaksu apmēru VNĪ projektiem par tehniskās dokumentācijas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pielikuma 4. un 6.punktā norādītiem projektiem būvniecība netiks īstenota 1.2.1.4.i. investīcijas ietvaros (skatīt pielikumā atsauces uz ** un ****), tad kolonnā "Paredzamā būvdarbu līguma summa (ar PVN), euro" lūdzam norādīt 0.00 euro. Faktisko izmaksu apmēru VNĪ projektiem par tehniskās dokumentācijas izstrādi būtu jānorāda kolonnā "10 %* no būvdarbu līguma summas (ar PVN), euro" (skatīt pielikumā atsauci uz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iesniedzējs – tiešās pārvaldes iestāde vai privāto tiesību juridiska persona, kas pārvalda un apsaimnieko valsts nekustamos īpašumus vai ēku (ēku grupu) (</w:t>
            </w:r>
            <w:r w:rsidR="00000000" w:rsidRPr="00000000" w:rsidDel="00000000">
              <w:rPr>
                <w:rtl w:val="0"/>
              </w:rPr>
              <w:t xml:space="preserve">​pielikums)</w:t>
            </w:r>
            <w:r w:rsidR="00000000" w:rsidRPr="00000000" w:rsidDel="00000000">
              <w:rPr>
                <w:rtl w:val="0"/>
              </w:rPr>
              <w:t xml:space="preserve">, kurā tiek nodrošināta kultūras funkcija vai tiek veiktas valsts deleģētās funkcijas;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noteikuma projektā pielikumā ietvertais projekta iesniedzēju loks ir papildināts ar jauniem projekta iesniedzējiem un ēkām, bet projekta iesniegumu atlase ir noslēgusies, līgumi un vienošanās par projektu īstenošanu un noslēgti, tad lūdzam noteikumu projektā un anotācijā ietvert skaidrojumu, kā noritēs projektu iesniegumu atlases process attiecībā uz jaunajiem projekta iesniedzējiem, t.i., projektu iesniegumu iesniegšana, izvērtēšana, vienlaikus skaidrojot, vai plānota jauna projektu iesniegumu atlases kārta vai jauns uzsaukums.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skaidrot par grozījumu ietekmi uz jau apstiprinātajiem finansējuma saņēmējiem, ņemot vērā, ka noteikumu projekta anotācijā skaidrots, ka plānotie grozījumi uzskatāmi par būtiskiem, jo tiek pilnveidoti projektu īstenošanas nosacījumi abiem posmiem.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informāciju par projekta kopējo finansējumu atbilstoši šo noteikumu </w:t>
            </w:r>
            <w:r w:rsidR="00000000" w:rsidRPr="00000000" w:rsidDel="00000000">
              <w:rPr>
                <w:rtl w:val="0"/>
              </w:rPr>
              <w:t xml:space="preserve">​pielikumā</w:t>
            </w:r>
            <w:r w:rsidR="00000000" w:rsidRPr="00000000" w:rsidDel="00000000">
              <w:rPr>
                <w:rtl w:val="0"/>
              </w:rPr>
              <w:t xml:space="preserve"> norādītajam finansējumam, kas nav lielāks par 10 % no paredzamās būvdarbu līguma summas (ar pievienotās vērtības nodokli) un kuru paredzēts izlietot atbilstoši šo noteikumu </w:t>
            </w:r>
            <w:r w:rsidR="00000000" w:rsidRPr="00000000" w:rsidDel="00000000">
              <w:rPr>
                <w:rtl w:val="0"/>
              </w:rPr>
              <w:t xml:space="preserve">30.1.</w:t>
            </w:r>
            <w:r w:rsidR="00000000" w:rsidRPr="00000000" w:rsidDel="00000000">
              <w:rPr>
                <w:rtl w:val="0"/>
              </w:rPr>
              <w:t xml:space="preserve"> un </w:t>
            </w:r>
            <w:r w:rsidR="00000000" w:rsidRPr="00000000" w:rsidDel="00000000">
              <w:rPr>
                <w:rtl w:val="0"/>
              </w:rPr>
              <w:t xml:space="preserve">30.2.</w:t>
            </w:r>
            <w:r w:rsidR="00000000" w:rsidRPr="00000000" w:rsidDel="00000000">
              <w:rPr>
                <w:rtl w:val="0"/>
              </w:rPr>
              <w:t xml:space="preserve"> apakšpunktam</w:t>
            </w:r>
            <w:r w:rsidR="00000000" w:rsidRPr="00000000" w:rsidDel="00000000">
              <w:rPr>
                <w:rtl w:val="0"/>
              </w:rPr>
              <w:t xml:space="preserve">. Nosacījums neattiecas uz šo noteikumu pielikumā minēto projekta iesniedzēju Latvijas Kultūras akadēmija (projekta īstenošanas adrese – Miera iela 58a, Rīga) un projekta iesniedzēju valsts akciju sabiedrība "Valsts nekustamie īpašumi" (projekta īstenošanas adrese – Meirānu iela 2, Rīga, Pulka iela 8, Rīga, Lāčplēša iela 4, Valmiera, Skandu iela 14, Rīga, Talejas iela 1, Rīga) saskaņā ar šo noteikumu 31.1. apakšpunktā minēto;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2023. gada 8. augusta noteikumos Nr. 443 "Eiropas Savienības Atveseļošanas un noturības mehānisma plāna 1.2. reformu un investīciju virziena "Energoefektivitātes uzlabošana" 1.2.1.4.i. investīcijas "Energoefektivitātes uzlabošana valsts sektora ēkās, t. sk. vēsturiskajās ēkās" īstenošanas noteikumi" (turpmāk - MK noteikumi Nr.443)  30.4.</w:t>
            </w:r>
            <w:r w:rsidR="00000000" w:rsidRPr="00000000" w:rsidDel="00000000">
              <w:rPr>
                <w:vertAlign w:val="superscript"/>
                <w:rtl w:val="0"/>
              </w:rPr>
              <w:t xml:space="preserve">1</w:t>
            </w:r>
            <w:r w:rsidR="00000000" w:rsidRPr="00000000" w:rsidDel="00000000">
              <w:rPr>
                <w:rtl w:val="0"/>
              </w:rPr>
              <w:t xml:space="preserve"> punkts iekļauts kā atsevišķa vienība, tiesiskās skaidrības nodrošināšanai lūdzam MK noteikumu  Nr.443 20.3.punktu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informāciju par projekta kopējo finansējumu atbilstoši šo noteikumu pielikumā norādītajam finansējumam, kas nav lielāks par 10 % no paredzamās būvdarbu līguma summas (ar pievienotās vērtības nodokli) un kuru paredzēts izlietot atbilstoši šo noteikumu 30.1.,30.2., </w:t>
            </w:r>
            <w:r w:rsidR="00000000" w:rsidRPr="00000000" w:rsidDel="00000000">
              <w:rPr>
                <w:u w:val="single"/>
                <w:rtl w:val="0"/>
              </w:rPr>
              <w:t xml:space="preserve">30.4. un 30.4.</w:t>
            </w:r>
            <w:r w:rsidR="00000000" w:rsidRPr="00000000" w:rsidDel="00000000">
              <w:rPr>
                <w:u w:val="single"/>
                <w:vertAlign w:val="superscript"/>
                <w:rtl w:val="0"/>
              </w:rPr>
              <w:t xml:space="preserve">1</w:t>
            </w:r>
            <w:r w:rsidR="00000000" w:rsidRPr="00000000" w:rsidDel="00000000">
              <w:rPr>
                <w:rtl w:val="0"/>
              </w:rPr>
              <w:t xml:space="preserve"> apakšpunktam. Nosacījums neattiecas uz šo noteikumu pielikumā minēto projekta iesniedzēju Latvijas Kultūras akadēmija (projekta īstenošanas adrese – Miera iela 58a, Rīga) un projekta iesniedzēju valsts akciju sabiedrība "Valsts nekustamie īpašumi" (projekta īstenošanas adrese – Meirānu iela 2, Rīga, Pulka iela 8, Rīga, Lāčplēša iela 4, Valmiera, Skandu iela 14, Rīga, Talejas iela 1, Rīga) saskaņā ar šo noteikumu 31.1. apakšpunktā minēto;.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21.1.3. projekta iesniegumā norādītais kopējais finansējums atbilst šo noteikumu </w:t>
            </w:r>
            <w:r w:rsidR="00000000" w:rsidRPr="00000000" w:rsidDel="00000000">
              <w:rPr>
                <w:rtl w:val="0"/>
              </w:rPr>
              <w:t xml:space="preserve">​pielikumā</w:t>
            </w:r>
            <w:r w:rsidR="00000000" w:rsidRPr="00000000" w:rsidDel="00000000">
              <w:rPr>
                <w:rtl w:val="0"/>
              </w:rPr>
              <w:t xml:space="preserve"> norādītajai avansa summai vai priekšfinansējumam, kas nav lielāks par 10 % no paredzamās būvdarbu līguma summas (ar pievienotās vērtības nodokli) un kuru paredzēts izlietot atbilstoši šo noteikumu </w:t>
            </w:r>
            <w:r w:rsidR="00000000" w:rsidRPr="00000000" w:rsidDel="00000000">
              <w:rPr>
                <w:rtl w:val="0"/>
              </w:rPr>
              <w:t xml:space="preserve">30.1.</w:t>
            </w:r>
            <w:r w:rsidR="00000000" w:rsidRPr="00000000" w:rsidDel="00000000">
              <w:rPr>
                <w:rtl w:val="0"/>
              </w:rPr>
              <w:t xml:space="preserve"> un </w:t>
            </w:r>
            <w:r w:rsidR="00000000" w:rsidRPr="00000000" w:rsidDel="00000000">
              <w:rPr>
                <w:rtl w:val="0"/>
              </w:rPr>
              <w:t xml:space="preserve">30.2.</w:t>
            </w:r>
            <w:r w:rsidR="00000000" w:rsidRPr="00000000" w:rsidDel="00000000">
              <w:rPr>
                <w:rtl w:val="0"/>
              </w:rPr>
              <w:t xml:space="preserve"> apakšpunktam</w:t>
            </w:r>
            <w:r w:rsidR="00000000" w:rsidRPr="00000000" w:rsidDel="00000000">
              <w:rPr>
                <w:rtl w:val="0"/>
              </w:rPr>
              <w:t xml:space="preserve">, tostarp iekļaujot 30.4. un 30.4.</w:t>
            </w:r>
            <w:r w:rsidR="00000000" w:rsidRPr="00000000" w:rsidDel="00000000">
              <w:rPr>
                <w:vertAlign w:val="superscript"/>
                <w:rtl w:val="0"/>
              </w:rPr>
              <w:t xml:space="preserve">1</w:t>
            </w:r>
            <w:r w:rsidR="00000000" w:rsidRPr="00000000" w:rsidDel="00000000">
              <w:rPr>
                <w:rtl w:val="0"/>
              </w:rPr>
              <w:t xml:space="preserve"> apakšpunktā minētās izmaksas par projekta pirmā posma īstenošanu. Nosacījums neattiecas uz šo noteikumu 20.3. apakšpunktā minētajiem projekta iesniedzējiem;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visā noteikumu projektā, kur ir ietverta atsauce uz 20.3. apakšpunktu, ievērot un atsaukties nevis uz minēto apakšpunktu, bet uz jaunu punktu, kurā norādīti projekta iesniedzēji vai arī noteikumu pielikumu ar precīzu norādi tieši uz kuru projekta iesniedzēju ir attiecināms konkrētais regulējums, līdzīgi kā noteikumu projekta 26. punktā izteiktajā 44. punkta pirmajā teikumā, jo 20.3. apakšpunkts nav regulējums, kas uzskaita projekta iesniedzēju loku, bet gan nosaka projekta iesniegumā iekļaujamo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 atjaunojamo energoresursu izmantojošu siltumenerģijas un elektroenerģijas ražošanas avotu iegāde un uzstādīšana</w:t>
            </w:r>
            <w:r w:rsidR="00000000" w:rsidRPr="00000000" w:rsidDel="00000000">
              <w:rPr>
                <w:b w:val="1"/>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pasākums papildināts ar atbalstu elektroenerģijas ražošanas avotu iegādei un uzstādīšanai, lai atbalsts šim mērķim nekvalificētos kā komercdarbības atbalsts elektroenerģijas ražošanai, lūdzam noteikumus papildināt ar komercdarbības atbalsta izslēdzošajiem nosacījumiem, t.sk. vismaz 80% no saražotās elektroenerģijas apjoma ir jāizmanto pašpatēriņam. Vienlaikus lūdzam papildināt noteikumu projektu un anotāciju ar attiecīgajiem uzraudzības nosacījumiem iekārtu amortizācijas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projekta vadības personāla atlīdzības izmaksas, kas radušās uz darba līguma, rīkojuma vai uzņēmuma (pakalpojuma) līguma pamata, tai skaitā valsts sociālās apdrošināšanas obligātās iemaksas no apliekamajām attiecināmajām izmaksām, projekta administrēšanas izmaksas un īstenošanas personāla atlīdzības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grozījumi paredz risinājumu noteikumu 30.4.apakšpunktā noteikt divas dažādas pieejas projektu vadības izmaksu aprēķināšanai. Gala atbildība par regulējumā ietvertajām prasībām un nosacījumiem ir atbildīgajai nozares ministrijai, tomēr no vadošās iestādes puses vēršam uzmanību, ka divu atšķirīgu pieeju/nosacījumu vienlaicīga izmantošana vienām un tām pašām izmaksām viena pasākuma un atlases ietvaros ir rūpīgi jāvērtē/jāpamato no potenciālo audita risku viedokļa vienlīdzīgas pieejas kontekstā. Gadījumā, ja Ekonomikas ministrijas ieskatā šāda pieeja ir objektīvi pamatojama, tad anotācijā jāiekļauj detalizēts skaidrojums, piemēram, skaidrojot, ka investīcijas dizains paredz divu dažādu tvērumu/satura projektus, kam ir objektīvi pamatojama atšķirība projekta vadības izmaksu īpatsvaram, un kas nerada nepamatotas priekšrocības kādam no finansējuma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atgādinām, ka faktisko izmaksu gadījumā finansējuma saņēmējam ir jānodrošina visa izdevumus pamatojošā dokumentācija.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w:t>
            </w:r>
            <w:r w:rsidR="00000000" w:rsidRPr="00000000" w:rsidDel="00000000">
              <w:rPr>
                <w:vertAlign w:val="superscript"/>
                <w:rtl w:val="0"/>
              </w:rPr>
              <w:t xml:space="preserve">3</w:t>
            </w:r>
            <w:r w:rsidR="00000000" w:rsidRPr="00000000" w:rsidDel="00000000">
              <w:rPr>
                <w:rtl w:val="0"/>
              </w:rPr>
              <w:t xml:space="preserve"> no projekta otrā posma īstenošanas izslēgtajiem projektiem projekta netiešās attiecināmās izmaksas plāno kā vienu izmaksu pozīciju, piemērojot netiešo izmaksu vienoto likmi septiņu procentu apmērā no šo noteikumu 30.1. un 30.2. apakšpunktā minētajām tiešajām attiecināmajām izmaksām saskaņā ar Regulas Nr.  2021/1060 54. panta pirmās daļas "a" apakšpunktu;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noteikumu projekta  30.4.</w:t>
            </w:r>
            <w:r w:rsidR="00000000" w:rsidRPr="00000000" w:rsidDel="00000000">
              <w:rPr>
                <w:vertAlign w:val="superscript"/>
                <w:rtl w:val="0"/>
              </w:rPr>
              <w:t xml:space="preserve">3</w:t>
            </w:r>
            <w:r w:rsidR="00000000" w:rsidRPr="00000000" w:rsidDel="00000000">
              <w:rPr>
                <w:rtl w:val="0"/>
              </w:rPr>
              <w:t xml:space="preserve">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w:t>
            </w:r>
            <w:r w:rsidR="00000000" w:rsidRPr="00000000" w:rsidDel="00000000">
              <w:rPr>
                <w:vertAlign w:val="superscript"/>
                <w:rtl w:val="0"/>
              </w:rPr>
              <w:t xml:space="preserve">3</w:t>
            </w:r>
            <w:r w:rsidR="00000000" w:rsidRPr="00000000" w:rsidDel="00000000">
              <w:rPr>
                <w:rtl w:val="0"/>
              </w:rPr>
              <w:t xml:space="preserve"> no projekta otrā posma īstenošanas izslēgtajiem projektiem projekta netiešās attiecināmās izmaksas plāno kā vienu izmaksu pozīciju, piemērojot netiešo izmaksu vienoto likmi septiņu procentu apmērā no šo noteikumu 30.1., 30.2. un 30.4.2   apakšpunktā minētajām tiešajām attiecināmajām izmaksām saskaņā ar Regulas Nr.  2021/1060 54. panta pirmās daļas "a"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Šo noteikumu 20.3. apakšpunktā minētajiem projekta iesniedzējiem finansējums pieejams 100% apmērā no paredzamās būvdarbu līguma summas, ieskaitot pievienotās vērtības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skaidrot noteikumu projekta 31.1.apakšpunktu, ņemot vērā, ka pievienotās vērtības nodokļa izmaksas Atveseļošanas un noturības mehānisma plāna ietvaros nav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56.3. šo noteikumu 56.1. un 56.2. apakšpunktā minētie nosacījumi neattiecas uz šo noteikumu 20.3. apakšpunktā minēto projekta iesniedzēju valsts akciju sabiedrība "Valsts nekustamie īpašumi" (projekta īstenošanas adrese –  Talejas iela 1, Rīga).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projektā ir iekļauta jauna ēka Talejas ielā 1, kurā netiek nodrošināti kultūras pakalpojumi, un attiecīgi -  var secināt, ka attiecībā uz šo projektu nav iekļauti komercdarbības atbalstu izslēdzošie nosacījumi, proti, nav paredzēti ne papildpakalpojumi, ne papildinošā saimnieciskā darbība, ne to uzraudzības nosacījumi (pašdeklarēšanās princips, metodes u.c.). Lūdzam papildināt noteikumu grozījumu projektu un anotāciju, iekļaujot papildinošās saimnieciskās darbības uzraudzības aspektus, un nosacījumu, ka atbildīgā iestāde izstrādās papildinošās saimnieciskās darbības uzraudzības metodiku, pretējā gadījumā anotācijā norāda, ka minētajā ēkā nav atļauta ne papildinošā saimnieciskā darbība, ne papildpakalpojumi.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Ja ar saimniecisko darbību nesaistīts projekts vai projekts, kas saistīts ar tādu saimniecisko darbību, kurai sniegtais atbalsts nav kvalificējams kā komercdarbības atbalsts, ieviešanas gaitā vai projekta dzīves ciklā kļūst par projektu, kas saistīts ar saimniecisko darbību, kurai sniegtais atbalsts būtu kvalificējams kā komercdarbības atbalsts, finansējuma saņēmējs no finansējuma, kura avots nav publiskie līdzekļi, atmaksā aģentūrai visu nelikumīgi saņemto atbalstu kopā ar procentiem saskaņā ar Komercdarbības atbalsta kontroles likuma IV vai V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projektā nodrošinātu vienotu terminoloģiju, aicinām precizēt noteikumu projekta 58. punktu,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saimniecisko darbību nesaistīts projekts vai projekts, kas saistīts ar tādu saimniecisko darbību, kurai sniegtais atbalsts nav kvalificējams kā komercdarbības atbalsts, ieviešanas gaitā vai projekta dzīves ciklā kļūst par projektu, kas saistīts ar saimniecisko darbību, kurai sniegtais atbalsts būtu kvalificējams kā komercdarbības atbalsts, finansējuma saņēmējs atmaksā aģentūrai nelikumīgo komercdarbības atbalstu kopā ar procentiem no līdzekļiem, kas brīvi no komercdarbības atbalsta, saskaņā ar Komercdarbības atbalsta kontroles likuma IV vai V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24-TA-831</w:t>
    </w:r>
    <w:r>
      <w:br/>
    </w:r>
    <w:r w:rsidR="00000000" w:rsidRPr="00000000" w:rsidDel="00000000">
      <w:rPr>
        <w:rtl w:val="0"/>
      </w:rPr>
      <w:t xml:space="preserve">Izdrukāts 21.11.2024. 18.16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24-TA-831</w:t>
    </w:r>
    <w:r>
      <w:br/>
    </w:r>
    <w:r w:rsidR="00000000" w:rsidRPr="00000000" w:rsidDel="00000000">
      <w:rPr>
        <w:rtl w:val="0"/>
      </w:rPr>
      <w:t xml:space="preserve">Izdrukāts 21.11.2024. 18.16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Atzinumi_24-TA-831.docx</dc:title>
</cp:coreProperties>
</file>

<file path=docProps/custom.xml><?xml version="1.0" encoding="utf-8"?>
<Properties xmlns="http://schemas.openxmlformats.org/officeDocument/2006/custom-properties" xmlns:vt="http://schemas.openxmlformats.org/officeDocument/2006/docPropsVTypes"/>
</file>