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attiecīgu skaidrojumu par Ministru kabineta 2023. gada 14. novembra noteikumu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13.punkta,  26.7. apakšpunkta, 34. punkta grozīšanas nepieciešamību tiesību normu izsekojamībai un skaidrībai.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(Kristīne Mežale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19.11.2025.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19.11.2025.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Atzinumi_25-TA-2294.docx</dc:title>
</cp:coreProperties>
</file>

<file path=docProps/custom.xml><?xml version="1.0" encoding="utf-8"?>
<Properties xmlns="http://schemas.openxmlformats.org/officeDocument/2006/custom-properties" xmlns:vt="http://schemas.openxmlformats.org/officeDocument/2006/docPropsVTypes"/>
</file>