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digitālās identitātes maka ieviešana Latvijā”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Projekta pabeigšanas noteikt Projekta rezultātu uzturēšanas izmaksas ne vairāk kā 1 226 250,87 euro gadā, pieprasot tās normatīvajos aktos noteiktajā kārtībā un ievērojot Likuma par budžetu un finanšu vadību 9.1 panta otrajā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pie anotācijas 3.sadaļas, lūdzam precizēt rīkojuma 6.punktā norādīto projekta rezultātu uzturēšanas izmaksu apmēru, kā papildu pieprasāmo norādot tikai apmēru, kas paredzēts projekta ietvaros izveidoto kapitālieguldījumu uzturēšanas izmaksām, savukārt izmaksas saistībā ar amata vietām norādīt kā tādas, kas nodrošināmas esošo budžeta līdzekļu ietvaros, tai skaitā nosakot, ka netiks palielināts amata vietu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precizēt norādīto atsauci, proti, “9.1 panta” vietā norādot “9.</w:t>
            </w:r>
            <w:r w:rsidR="00000000" w:rsidRPr="00000000" w:rsidDel="00000000">
              <w:rPr>
                <w:vertAlign w:val="superscript"/>
                <w:rtl w:val="0"/>
              </w:rPr>
              <w:t xml:space="preserve">1</w:t>
            </w:r>
            <w:r w:rsidR="00000000" w:rsidRPr="00000000" w:rsidDel="00000000">
              <w:rPr>
                <w:rtl w:val="0"/>
              </w:rPr>
              <w:t xml:space="preserve"> panta”, kā arī summu izteikt bez cipariem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pie anotācijas 3.sadaļas, lūdzam projekta pases 6. sadaļā “Izmaksu un ieguvumu analīze” un 7.sadaļā “Cita būtiska informācija” precizēt norādīto informāciju attiecībā projekta laikā izveidoto amata vietu integrāciju VDAA struktūrā.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6.sadaļā “Izmaksu un ieguvumu analīze” norādīts, ka eIDAS 2.0 regulas prasību izpilde ļauj izvairīties no ES pārkāpuma procedūras un ar to saistītā finansiālā riska, kas var sasniegt vairāk nekā 2,6 miljonus euro gadā, tālāk izdarot secinājumus par valsts budžeta līdzekļu ietaupījumu. Norādām, ka izmaksas, ja tiktu ierosināta pārkāpuma procedūra, nav uzskatāmas par valsts budžeta ietaupījumu esošajiem budžeta izdevumiem, bet par izmaksām, kas neveidosies papildus,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pasē tiek sniegta informācija, ka projekta ieviešana rezultātā valsts līdzekļu ietaupījums 10 gadu periodā var sasniegt 24 367 690 euro un neto fiskālais ietaupījumu 10 gadu periodā var sasniegt 5 605 181,30 euro, lūdzam skaidrot, kāpēc uzturēšanas izmaksām finansējumu plānots pieprasīt 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detalizētu informāciju, kā veidojas uzturēšanas izmaksas 800 000 euro apmērā ik gadu sadalījumā pa izmaksu pozīcijām. Vienlaikus uzskatām, ka projekta rezultātu uzturēšanas izmaksas ir pabeigta projekta ietvaros izveidotā risinājuma kapitālieguldījumu uzturēšana un tās nevar ietvert izmaksas sistēmas attīstībai, kas būtu jauni kapitālieguldījumi, attiecīgi lūdzam pārskatīt jautājumu par lietojamības un funkcionalitātes pilnveidi kā uzturēšanas izmaksu sastāvdaļu.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 un 7.punktā norādītajā jautājumā par jaunām amata vietām un tām nepieciešamo finansējumu būtisks ir Valsts kancelejas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likuma “Par valsts budžetu 2026. gadam un budžeta ietvaru 2026., 2027. un 2028. gadam” 80.pants nosaka, ka 2026. gadā valsts un pašvaldību institūcijās netiek palielināts kopējais no valsts un pašvaldību budžeta finansēto amata vietu skaits (ar atsevišķiem izņēmumiem), kas pēc būtības nozīmē, ka funkciju īstenošanu ir jānodrošina esošo amata vietu un tām pieejamā finansējuma ietvaros. Lai arī ERAF finansētu un pabeigtu projektu ietvaros izveidoto rezultātu uzturēšanai ir iespējams piešķirt finansējumu no budžeta programmas “Apropriācijas rezerve” saskaņā ar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 taču jāņem vērā, ka arī šie resursi ir ierobežoti un paredzēti izveidoto sistēmu kapitālieguldījumu uzturēšanas izmaksām, nevis jaunu amata vietu izveidei. Attiecīgi lūdzam precizēt 6. un 7.punktā norādīto informāciju, svītrojot informāciju par papildus finansējuma nepieciešamību jaunām amata vietām, tā vietā norādot, ka pēc projekta pabeigšanas finansējums amata vietām tiks nodrošināts iesaistītajām institūcijām esošo valsts budžeta līdzekļu ietvaros, veicot izdevumu pārskatīšanu un optimizāciju.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paralēli Projektam tiek virzīti un īstenoti arī citi horizontālās jomas arhitektūras “Uzticamība un personu identifikācija” ietvarā paredzētie projekti, kas var ietekmēt Projekta īstenošanas gaitu, tostarp: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rīkojuma projekta 2. punktu un, ja nepieciešams, to precizēt vai svītrot, ņemot vērā, ka projekta “Eiropas digitālās identitātes maka ieviešana Latvijā” pasē ir minēti vairāki saistīti projekti. Pašreiz nav skaidrs, kāpēc rīkojuma projektā pieminēti tikai divi no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Projektu finansēt 1.3.1.1. pasākuma “IKT risinājumu un pakalpojumu attīstība un iespēju radīšana privātajam sektoram” ietvaros, ja projektu iesniegumi atbilst Ministru kabineta 2024. gada 4. jūnija noteikumu Nr. 338 "Eiropas Savienības kohēzijas politikas programmas 2021.–2027. gadam 1.3.1. specifiskā atbalsta mērķa "Izmantot digitalizācijas priekšrocības iedzīvotājiem, uzņēmumiem, pētniecības organizācijām un publiskajām iestādēm" 1.3.1.1. pasākumam "IKT risinājumu un pakalpojumu attīstība un iespēju radīšana privātajam sektoram" īstenošanas noteikumi" iekļautajiem nosacījumiem un projektu iesniegumu atlases kritērijiem.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4.punktā tekstu:  “ja projektu iesniegumi ” aizstāt ar :“ja projekta iesniegums”, tādējādi sniedzot nepārprotamu informāciju, ka par projektu “Eiropas digitālās identitātes maka ieviešana Latvijā” tiks iesniegts viens projekta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finansēt 1.3.1.1. pasākuma “IKT risinājumu un pakalpojumu attīstība un iespēju radīšana privātajam sektoram” ietvaros, ja projekta iesniegums atbilst Ministru kabineta 2024. gada 4. jūnija noteikumu Nr. 338 "Eiropas Savienības kohēzijas politikas programmas 2021.–2027. gadam 1.3.1. specifiskā atbalsta mērķa "Izmantot digitalizācijas priekšrocības iedzīvotājiem, uzņēmumiem, pētniecības organizācijām un publiskajām iestādēm" 1.3.1.1. pasākumam "IKT risinājumu un pakalpojumu attīstība un iespēju radīšana privātajam sektoram" īstenošanas noteikumi" iekļautajiem nosacījumiem un projektu iesniegumu atlases kritērijiem.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Jansone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pēc pases projekta sadaļu struktūras ieguvumu un izmaksu analīzei jābūt iekļautai pasē, nevis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Projekta pasē noteikt citu personāla izmaksu apmēru saskaņā ar MKN Nr. 338 32.punktu, ievērojot, ka atbilstoši projekta pases 7.punktā norādītajam piesaistīt plānotajam projekta vadības un īstenošanas personāla apjomam, pirmšķietami izmaksas pārsniedz 20 procentus no projekta kopējām tiešajām attiecināmajām izmaksām. Vēršam uzmanību, ka izņēmuma gadījumā projekta pasē var noteikt citu personāla izmaksu apmēru, kad, atbilstoši projekta būtībai (piemēram, informācijas sistēmas izstrādes darbi tiek veikti iestādes resursu ietvaros) personāla izmaksas pārsniedz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Jansone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Projekta pases 5.2. punktu,  5.2.1. kolonnā “Lietotāju skaits (ar atšifrējumu -saimnieciskās darbības veicēji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precizējot Projekta ietvaros sasniegtajā rādītājā ieskaitīto jaunu un modernizētu publisko digitālo pakalpojumu, produktu un procesu lietotāju grupas, ņemot vēra, ka MKN Nr.338 anotācijā ir paskaidrots, ka ar rādītāju tiek saprasts saimnieciskās darbības veicēju un iestāžu skaits (nevis fiziskas personas), kā arī atšifrēt, pēc kādiem kritērijiem ir gūstama pārliecība par šī rādītāja sasniegšanu, t.i., konkrētā saimnieciskās darbības veicēja vai iestādes ieskaitīšana lietotāja statusā.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Jansone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vai 3.4.3. norādāms kā sasniedzamais rezultāts, ņemot vērā, ka uzņēmumi tiek ieskaitīti rādītājā  “jaunu un modernizētu publisko digitālo pakalpojumu, produktu un procesu lietotāji” un šī informācija ir norādīta 5.2.punktā;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kas ir 3.4.5. un 3.4.6. apakšpunktos norādītie atribūti un kā noteikts sasniedzamais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Jansone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3.4.1.apakšpunktā norādīts, ka 2026.gadā tiks izstrādāts un auditēts Latvijas digitālas identitātes maka risinājums, kas ir paziņots ES mērogā. Savukārt, 5.2.1.apakšpunktā minēts, ka EDIM aktivitātes tiks īstenotas visā projekta laikā. Aicinām pārskatīt informāciju projekta pases 5.2.punktā, skaidri definējot sasniedzamos radītājus projektā, lietotāju skaitu un termiņus to ieviešanai produkcijā.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lietotāju skaitu plānots sasniegt norādītajā termiņā vai projekta noslēgumā, ņemot vērā, kas visu risinājumu tālāka attīstīšana iespējama/plānota visā projekta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pasi papildināt ar informāciju, vai PMLP kā sadarbības partnerim darbību un aktivitāšu veikšanai tiks piešķirts projekta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7.sadaļā norādīts, ka VDAA esošajā personāla struktūrā šobrīd nepietiek kapacitātes, lai nodrošinātu EDIM izveidi un ieviešanu, jo ir pilnībā noslogoti ar iestādes pamatdarbību un būs nepieciešams piesaistīt papildu speciālistus. Ņemot vērā minēto, lūdzam skaidrot, kā tiek nodrošināta jau šobrīd projekta aktivitāšu īstenošana, jo paredzēts uz projektu attiecināt izmaksas, kas radušās no 2025. gada 24. februāra, kā arī vai personāla kapacitātes trūkums var ietekmēt rezultātu sasniegšanu, īpaši uz 2026.g.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pamatotu projekta lietderību, aicinām izvērtēt un skaidrot, vai pret projektā paredzēto ieguldījumu un veiktajām aktivitātēm ir pietiekami definēti sasniedzamie rādītāji "10 uzņēmumi" projekta pases 3.4.3., 3.4.5., 5.1.1., 5.2.punktā.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3.3.4.apakšpunktā kā projekta ieguvumi norādīti 240 000 digitālās identitātes maka lietotāji, balstoties uz 2.atsaucē aprakstīto pieņēmumu, savukārt, 5.2.1.apakšpunktā plānotais lietotāju skaits 2029.gadā norādītas 370 000 fiziskās personās. Aicinām pārskatīt iekļauto informāciju, skaidri norādot sasniedzamos rādītājus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plānots 2029.gadā sasniegt šādus rezultātus: 10 uzņēmumi savu pakalpojumu sniegšanai izmanto EDIM , veicinot uzņēmuma digitalizāciju (3.4.3.apakšpunkts) un 10 juridiskas personas sniedz atribūtus, kas pieejami EDIM. Savukārt, 5.1.1.apakšpunktā "Uzņēmumu digitalizācijas veicināšana" norādīts "Indikatīvi 10 uzņēmumi 2029. gadā sniedz atribūtus EDIM kā autentisks avots, 50 uzņēmumi 2029. gadā reģistrējušies kā pakalpojumu sniedzēji". Aicinām skaidri definēt sasniedzamos rādītājus un salāgot informāciju projekta pasē.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3.sadaļas 6.punktu un projekta pases 4.1.punktu, norādot projekta ietvaros plānotās aktivitātes un to īstenošanai paredzēto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lietotāju apmierinātība ir norādāms kā sasniedzamais rezultāts projektā, pēc nepieciešamības plānotos pasākumus un sasniedzamo lietotāju apmierinātību pārceļot uz 3.3.punktu kā projekta ieguvumus.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projektā sasniedzamos ieguvumus (3.3.punkts) un rezultātus (3.4.punkts), salāgojot informāciju ar projekta pases 5.punktā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Nepārprotamai interpretācijai aicinām pārskatīt projekta pases 3.3.5.apakšpunktā norādītajam projekta ieguvumam rādītāja mērīšanas vai verificēšanas metodi un mērāmo rādītāju (iekļaujot norādi par to, kas un kā tiek mērīts un pārbaudīts) un sasniedzamo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pases 3.1.punktu, norādot, kādas darbības un aktivitātes projekta mērķu sasniegšanai veiks Viedās administrācijas un reģionālās attīstības ministrija kā sadarbības partneris.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ieguvumu un izmaksu analīzi ar sniegtās informācijas avotiem.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1.3. sadaļu ar nepārprotamu informāciju par Projekta ietvaros plānotajiem un potenciālajiem sadarbības partneriem, t.i., papildināt anotāciju, skaidri definējot VARAM un PMLP kā sadarbības partnerus, kā arī konkretizēt LVRTC lomu, vai plānotā sadarbība nodrošināt kvalificētu elektronisko apliecinājumu izveidi, elektronisko dokumentu parakstīšanu ir plānota LVRTC piesaistot kā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Jansone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“Eiropas digitālās identitātes maka ieviešana Latvijā” pases 6. punktā ir norādīts, ka : "Precīzs darbinieku skaits, kas nepieciešams pēc projekta īstenošanas un tā izmaksas gadā tiek aprēķinātas Ministru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kabineta rīkojuma anotācijā[..]" , papildināt anotācijas 1.3. punktu ar informāciju par provizorisko darbinieku skaitu, kas nepieciešams pēc projekta īstenošanas, atbilstoši sniedzot arī detalizētāku informāciju dalījumā pa plānotajām personāla atlīdzības un tehniskas uzturēšanas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Jansone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gadījumā, ja atbalsts (publisko līdzekļu piešķīrums) tiek sniegts, piemēram, valsts funkcijas veikšanai, tas atbilstoši Komisijas paziņojuma par Līguma par Eiropas Savienības darbību 107. panta 1. punktā minēto valsts atbalsta jēdzienu (C/2016/2946) 17.punktā noteiktajam, nav uzskatāms par atbalstu saimnieciskai darbībai. Tomēr šādā gadījumā papildus, lai nodrošinātu skaidrību par to, ka tiešām nepastāv nelikumīga komercdarbības atbalsta risks, aicinām projekta pasi un anotāciju papildināt ar informāciju, norādot - vai projekta ietvaros radītie informācijas un komunikācijas tehnoloģijas risinājumi ir/būs valsts pārvaldes iestādes vai tās padotības iestādes īpašumā; vai informācijas un komunikācijas tehnoloģijas risinājumi paredzēti konkrētu valsts pārvaldes funkciju veikšanai un kādu tieši valsts pārvaldes uzdevuma izpildi finansējuma saņēmējs un katrs tā sadarbības partneris projekta ietvaros īsteno, t.sk. saskaņā ar kādu saistošo dokumentu; vai projektā izstrādātie vai uzlabotie informācijas un komunikācijas tehnoloģijas risinājumi nedod labumu atsevišķiem komersantiem un tādējādi tie negūst labumu / priekšrocības attiecībā pret citiem Eiropas Savienības komersantiem. Vienlaikus lūdzam anotācijā skaidrot, vai sistēmu uzlabojumu izstrādes darbus veiks  pakalpojuma sniedzējs, kas ir atlasīts atklātā, pārredzamā, nediskriminējošā un konkurenci nodrošinošā procedūrā, lai izslēgtu komercdarbības atbalsta sniegšanu (ekonomiskās priekšrocības piešķiršanu) pakalpojuma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projekta ietvaros atbalsts tiek sniegts saimnieciskai darbībai projekta finansējuma saņēmējam vai sadarbības partnerim (ja attiecināms) un tas kvalificējas kā komercdarbības atbalsts, lūdzam ņemt vērā, ka 1.3.1.1. pasākuma ""IKT risinājumu un pakalpojumu attīstība un iespēju radīšana privātajam sektoram"  ietvaros komercdarbības atbalsts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norādīs, ka uz projekta laiku plānots piesaistīt 13-17 darbiniekus, savukārt pases projektā ir iekļauts cits darbinieku skaits, proti, 13-20 speciālisti. Lūdzam salāgot informāciju abos dokumentos, kā arī izvērtēt iespēju norādīt precīzu darbinieku skaitu.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 norādītos gadus, ņemot vērā, ka jautājums tiks virzīts izskatīšanai Ministru kabinetā 2026.gadā, attiecīgi arī izvērtējot finansējuma sadalījumu 2029.gadam un nepieciešamību  2.1., 3.1. un 5.1.apakšpunktos norādīt plānoto projekta uzturēšanas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aizpildīt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 6.punkta tabulā par finansējuma sadalījumu pa gadiem ERAF finansējuma apjomu, proti, 2028.gadam norādot to 1 498 868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papildināt punktu “Cita informācija” ar norādi, ka finansējums projekta īstenošanai attiecībā uz ERAF līdzfinansējuma un valsts budžeta līdzfinansējuma nodrošināšanu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25-TA-2852</w:t>
    </w:r>
    <w:r>
      <w:br/>
    </w:r>
    <w:r w:rsidR="00000000" w:rsidRPr="00000000" w:rsidDel="00000000">
      <w:rPr>
        <w:rtl w:val="0"/>
      </w:rPr>
      <w:t xml:space="preserve">Izdrukāts 12.01.2026. 10.28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25-TA-2852</w:t>
    </w:r>
    <w:r>
      <w:br/>
    </w:r>
    <w:r w:rsidR="00000000" w:rsidRPr="00000000" w:rsidDel="00000000">
      <w:rPr>
        <w:rtl w:val="0"/>
      </w:rPr>
      <w:t xml:space="preserve">Izdrukāts 12.01.2026. 10.28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Atzinumi_25-TA-2852.docx</dc:title>
</cp:coreProperties>
</file>

<file path=docProps/custom.xml><?xml version="1.0" encoding="utf-8"?>
<Properties xmlns="http://schemas.openxmlformats.org/officeDocument/2006/custom-properties" xmlns:vt="http://schemas.openxmlformats.org/officeDocument/2006/docPropsVTypes"/>
</file>