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30B" w:rsidRDefault="00B9330B" w:rsidP="00B9330B">
      <w:pPr>
        <w:rPr>
          <w:rFonts w:eastAsia="Times New Roman"/>
          <w:lang w:val="en-US" w:eastAsia="lv-LV"/>
        </w:rPr>
      </w:pPr>
      <w:r>
        <w:rPr>
          <w:rFonts w:eastAsia="Times New Roman"/>
          <w:b/>
          <w:bCs/>
          <w:lang w:val="en-US" w:eastAsia="lv-LV"/>
        </w:rPr>
        <w:t>From:</w:t>
      </w:r>
      <w:r>
        <w:rPr>
          <w:rFonts w:eastAsia="Times New Roman"/>
          <w:lang w:val="en-US" w:eastAsia="lv-LV"/>
        </w:rPr>
        <w:t xml:space="preserve"> Toms </w:t>
      </w:r>
      <w:proofErr w:type="spellStart"/>
      <w:r>
        <w:rPr>
          <w:rFonts w:eastAsia="Times New Roman"/>
          <w:lang w:val="en-US" w:eastAsia="lv-LV"/>
        </w:rPr>
        <w:t>Dreika</w:t>
      </w:r>
      <w:proofErr w:type="spellEnd"/>
      <w:r>
        <w:rPr>
          <w:rFonts w:eastAsia="Times New Roman"/>
          <w:lang w:val="en-US" w:eastAsia="lv-LV"/>
        </w:rPr>
        <w:t xml:space="preserve"> [mailto:Toms.Dreika@tm.gov.lv]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July 20, 2018 6:17 PM</w:t>
      </w:r>
      <w:r>
        <w:rPr>
          <w:rFonts w:eastAsia="Times New Roman"/>
          <w:lang w:val="en-US" w:eastAsia="lv-LV"/>
        </w:rPr>
        <w:br/>
      </w:r>
      <w:r>
        <w:rPr>
          <w:rFonts w:eastAsia="Times New Roman"/>
          <w:b/>
          <w:bCs/>
          <w:lang w:val="en-US" w:eastAsia="lv-LV"/>
        </w:rPr>
        <w:t>To:</w:t>
      </w:r>
      <w:r>
        <w:rPr>
          <w:rFonts w:eastAsia="Times New Roman"/>
          <w:lang w:val="en-US" w:eastAsia="lv-LV"/>
        </w:rPr>
        <w:t xml:space="preserve"> Inga Tapiņa &lt;Inga.Tapina@varam.gov.lv&gt;;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Baiba </w:t>
      </w:r>
      <w:proofErr w:type="spellStart"/>
      <w:r>
        <w:rPr>
          <w:rFonts w:eastAsia="Times New Roman"/>
          <w:lang w:val="en-US" w:eastAsia="lv-LV"/>
        </w:rPr>
        <w:t>Lielkalne</w:t>
      </w:r>
      <w:proofErr w:type="spellEnd"/>
      <w:r>
        <w:rPr>
          <w:rFonts w:eastAsia="Times New Roman"/>
          <w:lang w:val="en-US" w:eastAsia="lv-LV"/>
        </w:rPr>
        <w:t xml:space="preserve"> &lt;Baiba.Lielkalne@TM.GOV.LV&gt;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VSS-46 </w:t>
      </w:r>
      <w:proofErr w:type="spellStart"/>
      <w:r>
        <w:rPr>
          <w:rFonts w:eastAsia="Times New Roman"/>
          <w:lang w:val="en-US" w:eastAsia="lv-LV"/>
        </w:rPr>
        <w:t>elektroniska</w:t>
      </w:r>
      <w:proofErr w:type="spellEnd"/>
      <w:r>
        <w:rPr>
          <w:rFonts w:eastAsia="Times New Roman"/>
          <w:lang w:val="en-US" w:eastAsia="lv-LV"/>
        </w:rPr>
        <w:t xml:space="preserve"> </w:t>
      </w:r>
      <w:proofErr w:type="spellStart"/>
      <w:r>
        <w:rPr>
          <w:rFonts w:eastAsia="Times New Roman"/>
          <w:lang w:val="en-US" w:eastAsia="lv-LV"/>
        </w:rPr>
        <w:t>saskaņošana</w:t>
      </w:r>
      <w:proofErr w:type="spellEnd"/>
    </w:p>
    <w:p w:rsidR="00B9330B" w:rsidRDefault="00B9330B" w:rsidP="00B9330B"/>
    <w:p w:rsidR="00B9330B" w:rsidRDefault="00B9330B" w:rsidP="00B9330B">
      <w:r>
        <w:t xml:space="preserve">Labdien! </w:t>
      </w:r>
    </w:p>
    <w:p w:rsidR="00B9330B" w:rsidRDefault="00B9330B" w:rsidP="00B9330B">
      <w:pPr>
        <w:jc w:val="both"/>
      </w:pPr>
      <w:r>
        <w:t xml:space="preserve">Tieslietu ministrija ir izskatījusi Vides aizsardzības un reģionālās attīstības ministrijas sagatavoto precizēto Ministru kabineta noteikumu projektu “Noteikumi par publisko ūdeņu nomu” (VSS-46) (Noteikumu projekts), sākotnējās ietekmes novērtējuma ziņojumu (Anotāciju) un izziņu par atzinumos sniegtajiem iebildumiem un informē, ka atbalsta tā tālāku virzību, izsakot šādus iebildumus: </w:t>
      </w:r>
    </w:p>
    <w:p w:rsidR="00B9330B" w:rsidRDefault="00B9330B" w:rsidP="00B9330B">
      <w:pPr>
        <w:jc w:val="both"/>
      </w:pPr>
    </w:p>
    <w:p w:rsidR="00B9330B" w:rsidRDefault="00B9330B" w:rsidP="00B9330B">
      <w:pPr>
        <w:jc w:val="both"/>
      </w:pPr>
      <w:r>
        <w:t>1. Noteikumu projekta 2. punkts cita starpā paredz, ka Noteikumu projekta prasības neattiecas uz privātpersonām, kuru īpašumā atrodas publiskie ūdeņi. Vēršam uzmanību, ka saskaņā ar Civillikuma 1104. pantu publiskie ūdeņi ir valsts īpašums, ciktāl uz tiem nepastāv īpašuma tiesības privātai personai. Attiecībā uz norādi “ciktāl uz tiem nepastāv īpašuma tiesības privātai personai” tiesību doktrīnā ir norādīts, ka tā attiecināma uz gadījumu, kad tikai daļa no upes ir publiskais īpašums, bet pārējā daļa atrodas privātā īpa</w:t>
      </w:r>
      <w:bookmarkStart w:id="0" w:name="_GoBack"/>
      <w:bookmarkEnd w:id="0"/>
      <w:r>
        <w:t>šumā.</w:t>
      </w:r>
      <w:r>
        <w:rPr>
          <w:rStyle w:val="FootnoteReference"/>
        </w:rPr>
        <w:footnoteReference w:customMarkFollows="1" w:id="1"/>
        <w:t>[1]</w:t>
      </w:r>
      <w:r>
        <w:t xml:space="preserve"> Šādas situācijas veidojas, kad par publiskiem ūdeņiem Civillikuma attiecīgajā pielikumā ir noteikti atsevišķi upju posmi. No minētā izriet, ka publiskie ūdeņi, kā lietas, kuru apgrozība </w:t>
      </w:r>
      <w:proofErr w:type="gramStart"/>
      <w:r>
        <w:t>ir ierobežotas</w:t>
      </w:r>
      <w:proofErr w:type="gramEnd"/>
      <w:r>
        <w:t>, nevar būt privātpersonu īpašumā, jo var piederēt tikai valstij.</w:t>
      </w:r>
    </w:p>
    <w:p w:rsidR="00B9330B" w:rsidRDefault="00B9330B" w:rsidP="00B9330B">
      <w:pPr>
        <w:jc w:val="both"/>
      </w:pPr>
      <w:r>
        <w:t xml:space="preserve">Vienlaikus ir skaidrs, ka privātie ūdeņi nevar būt pakļauti Noteikumu projekta regulējumam, jo tas izietu ārpus Ministru kabinetam noteiktajiem deleģējumiem Noteikumu projekta izdošanai. </w:t>
      </w:r>
    </w:p>
    <w:p w:rsidR="00B9330B" w:rsidRDefault="00B9330B" w:rsidP="00B9330B">
      <w:pPr>
        <w:jc w:val="both"/>
        <w:rPr>
          <w:u w:val="single"/>
        </w:rPr>
      </w:pPr>
      <w:r>
        <w:t xml:space="preserve">Ievērojot minēto, secināms, ka norādes norma, ka Noteikumu projekts neattiecas uz privātpersonām, ir lieka. Ievērojot minēto, </w:t>
      </w:r>
      <w:r>
        <w:rPr>
          <w:u w:val="single"/>
        </w:rPr>
        <w:t xml:space="preserve">lūdzam svītrot Noteikumu projekta 2. punkta otro teikumu. </w:t>
      </w:r>
    </w:p>
    <w:p w:rsidR="00B9330B" w:rsidRDefault="00B9330B" w:rsidP="00B9330B">
      <w:pPr>
        <w:jc w:val="both"/>
      </w:pPr>
      <w:r>
        <w:t xml:space="preserve">2. Noteikumu projekta 18. punkts cita starpā paredz, ka konkursa komisijas locekļi ir valsts amatpersonas likuma “Par interešu konflikta novēršanu valsts amatpersonu darbībā” izpratnē. </w:t>
      </w:r>
    </w:p>
    <w:p w:rsidR="00B9330B" w:rsidRDefault="00B9330B" w:rsidP="00B9330B">
      <w:pPr>
        <w:jc w:val="both"/>
      </w:pPr>
      <w:r>
        <w:t xml:space="preserve">Vēršam uzmanību, ka šis pēc būtības ir tiesību normu interpretācijas jautājums. Tāpat arī Ministru kabinets doto deleģējumu ietvaros nav tiesīgs noteikt šādu statusu konkrētām personām. </w:t>
      </w:r>
    </w:p>
    <w:p w:rsidR="00B9330B" w:rsidRDefault="00B9330B" w:rsidP="00B9330B">
      <w:pPr>
        <w:jc w:val="both"/>
      </w:pPr>
      <w:r>
        <w:t xml:space="preserve">Vienlaikus šāds redzējums izriet no likuma “Par interešu konflikta novēršanu valsts amatpersonu darbībā” 4. panta otrās daļas 1. un 3. punkta regulējuma kontekstā ar konkursa komisijas lēmuma juridisko dabu. </w:t>
      </w:r>
    </w:p>
    <w:p w:rsidR="00B9330B" w:rsidRDefault="00B9330B" w:rsidP="00B9330B">
      <w:pPr>
        <w:jc w:val="both"/>
      </w:pPr>
      <w:r>
        <w:t xml:space="preserve">Ievērojot minēto, </w:t>
      </w:r>
      <w:r>
        <w:rPr>
          <w:u w:val="single"/>
        </w:rPr>
        <w:t>lūdzam svītrot Noteikumu projekta 18. punkta 2. teikumu, vienlaikus papildinot Noteikumu projekta anotāciju ar politikas veidotāju redzējumu par komisijas locekļu statusu.</w:t>
      </w:r>
      <w:r>
        <w:t xml:space="preserve"> </w:t>
      </w:r>
    </w:p>
    <w:p w:rsidR="00B9330B" w:rsidRDefault="00B9330B" w:rsidP="00B9330B">
      <w:pPr>
        <w:jc w:val="both"/>
      </w:pPr>
      <w:r>
        <w:t xml:space="preserve">3. Noteikumu projekta 23. punkts paredz, ka Noteikumu projekta 20.punktā minēto lēmumu var apstrīdēt Administratīvā procesa </w:t>
      </w:r>
      <w:r>
        <w:rPr>
          <w:u w:val="single"/>
        </w:rPr>
        <w:t>vai lēmumā noteiktajā kārtībā.</w:t>
      </w:r>
    </w:p>
    <w:p w:rsidR="00B9330B" w:rsidRDefault="00B9330B" w:rsidP="00B9330B">
      <w:pPr>
        <w:jc w:val="both"/>
      </w:pPr>
      <w:r>
        <w:t xml:space="preserve">Vēršam uzmanību, ka noteikumu projekts nevar grozīt administratīvā akta apstrīdēšanas un pārsūdzēšanas kārtību, kas noteikta Administratīvā procesa likumā (izņemot jautājumus, kuri paredzēti minētajā likumā, piemēram, 76. panta otrā daļa par iestādi, kurā to apstrīdēt). </w:t>
      </w:r>
    </w:p>
    <w:p w:rsidR="00B9330B" w:rsidRDefault="00B9330B" w:rsidP="00B9330B">
      <w:pPr>
        <w:jc w:val="both"/>
      </w:pPr>
      <w:r>
        <w:t>Ievērojot minēto, lūdzam Noteikumu projekta 23. punktu izteikt šādā redakcijā: “Iznomātāja 20. punktā minēto lēmumu var apstrīdēt Administratīvā procesa likuma noteiktajā kārtībā”.</w:t>
      </w:r>
    </w:p>
    <w:p w:rsidR="00B9330B" w:rsidRDefault="00B9330B" w:rsidP="00B9330B">
      <w:pPr>
        <w:jc w:val="both"/>
      </w:pPr>
      <w:r>
        <w:t xml:space="preserve">4. Noteikumu projekta 28. punkts paredz, ka nomnieks atmaksā iznomātājam neatkarīga vērtētāja pakalpojumus sākotnējās nomas maksas noteikšanai. Tāpat tas arī paredz, ka </w:t>
      </w:r>
      <w:r>
        <w:lastRenderedPageBreak/>
        <w:t>papildus nomas maksai nomnieks maksā normatīvajos aktos noteiktos nodokļus vai to kompensāciju, kuri attiecas uz iznomāto teritoriju.</w:t>
      </w:r>
    </w:p>
    <w:p w:rsidR="00B9330B" w:rsidRDefault="00B9330B" w:rsidP="00B9330B">
      <w:pPr>
        <w:jc w:val="both"/>
      </w:pPr>
      <w:r>
        <w:t xml:space="preserve">Lai nerastos domstarpības par šāda noteikuma saistošo spēku nomniekam, ja iznomātājs šādu noteikumu nav iekļāvis nomas līgumā, </w:t>
      </w:r>
      <w:r>
        <w:rPr>
          <w:u w:val="single"/>
        </w:rPr>
        <w:t>lūdzam precizēt Noteikumu projekta 28. punktu, nosakot, ka minētie noteikumi tiek paredzēti nomas līgumā.</w:t>
      </w:r>
      <w:r>
        <w:t xml:space="preserve"> </w:t>
      </w:r>
    </w:p>
    <w:p w:rsidR="00B9330B" w:rsidRDefault="00B9330B" w:rsidP="00B9330B">
      <w:pPr>
        <w:jc w:val="both"/>
      </w:pPr>
      <w:r>
        <w:t>5. Lai saskaņotu normatīvajos aktos lietoto terminoloģiju un neradītu šķietamību, ka izdevumi, kas taisīti nekustamajam īpašumam “pieder” to veicējam, lūdzam noteikumu projekta 29.8. punktā vārdus “paredzamie pušu ieguldījumi un to piederība pēc līguma beigām” aizstāt ar vārdiem “izdevumu veikšanas kārtība”.</w:t>
      </w:r>
    </w:p>
    <w:p w:rsidR="00B9330B" w:rsidRDefault="00B9330B" w:rsidP="00B9330B">
      <w:pPr>
        <w:jc w:val="both"/>
      </w:pPr>
      <w:r>
        <w:t xml:space="preserve">6. Noteikumu projekta 42.-45. punkts paredz gadījumus, kuros nomas līgums var netikt slēgts, bet noteiktie objekti var tikt izmantoti, saņemot atļauju. </w:t>
      </w:r>
    </w:p>
    <w:p w:rsidR="00B9330B" w:rsidRDefault="00B9330B" w:rsidP="00B9330B">
      <w:pPr>
        <w:jc w:val="both"/>
      </w:pPr>
      <w:r>
        <w:t>Noteikumu projekta 42. punkts paredz, ka šāda kārtība var tikt piemērota gan gadījumos, kur ūdenstilpe vai pludmale atrodas pašvaldības, gan cita valdītāja valdījumā. Savukārt noteikumu projekta 43. punkts paredz iespēju iekasēt maksu par atļaujas saņemšanu tikai pašvaldībai, turklāt tikai</w:t>
      </w:r>
      <w:proofErr w:type="gramStart"/>
      <w:r>
        <w:t xml:space="preserve"> izdodot saistošos noteikumus</w:t>
      </w:r>
      <w:proofErr w:type="gramEnd"/>
      <w:r>
        <w:t xml:space="preserve">. </w:t>
      </w:r>
    </w:p>
    <w:p w:rsidR="00B9330B" w:rsidRDefault="00B9330B" w:rsidP="00B9330B">
      <w:pPr>
        <w:jc w:val="both"/>
      </w:pPr>
      <w:r>
        <w:t xml:space="preserve">Ievērojot minēto, </w:t>
      </w:r>
      <w:r>
        <w:rPr>
          <w:u w:val="single"/>
        </w:rPr>
        <w:t>lūdzam skaidrot, vai Noteikumu projekta 42. panta regulējumu ir plānots attiecināt arī uz citiem ūdenstilpju un pludmaļu valdītājiem un vai tiem ir tiesības iekasēt maksu par šādas atļaujas izdošanu.</w:t>
      </w:r>
      <w:r>
        <w:t xml:space="preserve"> </w:t>
      </w:r>
    </w:p>
    <w:p w:rsidR="00B9330B" w:rsidRDefault="00B9330B" w:rsidP="00B9330B">
      <w:pPr>
        <w:jc w:val="both"/>
      </w:pPr>
      <w:r>
        <w:t xml:space="preserve">7. Noteikumu projekta 41. punkts paredz, ka iznomātājam ir jāpublicē spēkā esošie nomas līgumi, kas noslēgti līdz Noteikumu projekta spēkā stāšanās brīdim. </w:t>
      </w:r>
    </w:p>
    <w:p w:rsidR="00B9330B" w:rsidRDefault="00B9330B" w:rsidP="00B9330B">
      <w:pPr>
        <w:jc w:val="both"/>
        <w:rPr>
          <w:u w:val="single"/>
        </w:rPr>
      </w:pPr>
      <w:r>
        <w:rPr>
          <w:u w:val="single"/>
        </w:rPr>
        <w:t xml:space="preserve">Lūdzam izvērtēt, vai līdzīgi kā Noteikumu projekta 33. punktā publicējama būtu tikai informācija par noslēgto nomas līgumu nevis viss nomas līgums. </w:t>
      </w:r>
    </w:p>
    <w:p w:rsidR="00B9330B" w:rsidRDefault="00B9330B" w:rsidP="00B9330B">
      <w:pPr>
        <w:jc w:val="both"/>
      </w:pPr>
      <w:r>
        <w:t xml:space="preserve">8. Noteikumu projekta 3. punkts paredz, ka Noteikumu projekts nav piemērojams, ja nomas objekta izmantošanai nav nepieciešams ūdenstilpi vai pludmali iznomāt. Savukārt 42. punktā noteikts, ka nomas līgumu var neslēgt, ja paredzamais izmantošanas laiks nepārsniedz 1 mēnesi un izmantotā platība ir mazāka par 0,1 ha. </w:t>
      </w:r>
    </w:p>
    <w:p w:rsidR="00B9330B" w:rsidRDefault="00B9330B" w:rsidP="00B9330B">
      <w:pPr>
        <w:jc w:val="both"/>
      </w:pPr>
      <w:r>
        <w:t xml:space="preserve">Vēršam uzmanību, ka var pastāvēt situācijas, kur izmantošanai nav nepieciešams iznomāt ūdenstilpi vai pludmali, bet paredzētā izmantošana ir ilgāka par vienu mēnesi, piemēram, reklāmas izvietošanai. </w:t>
      </w:r>
    </w:p>
    <w:p w:rsidR="00B9330B" w:rsidRDefault="00B9330B" w:rsidP="00B9330B">
      <w:pPr>
        <w:jc w:val="both"/>
      </w:pPr>
      <w:r>
        <w:t xml:space="preserve">Vienlaikus iespēja šādu darbību atļaut arī izriet no Noteikumu projekta, t.i., Noteikumu projekta 3. punkta situācija, kurai it kā nav piemērojams Noteikumu projekta regulējums, tiek regulēta Noteikumu projektā. </w:t>
      </w:r>
    </w:p>
    <w:p w:rsidR="00B9330B" w:rsidRDefault="00B9330B" w:rsidP="00B9330B">
      <w:pPr>
        <w:jc w:val="both"/>
        <w:rPr>
          <w:u w:val="single"/>
        </w:rPr>
      </w:pPr>
      <w:r>
        <w:t xml:space="preserve">Ievērojot minēto, </w:t>
      </w:r>
      <w:r>
        <w:rPr>
          <w:u w:val="single"/>
        </w:rPr>
        <w:t>lūdzam skaidrot Noteikumu projekta 3. un 42. punkta savstarpējo mijiedarbību, kā arī nepieciešamības gadījumā to precizēt.</w:t>
      </w:r>
    </w:p>
    <w:p w:rsidR="00B9330B" w:rsidRDefault="00B9330B" w:rsidP="00B9330B">
      <w:pPr>
        <w:jc w:val="both"/>
      </w:pPr>
      <w:r>
        <w:t xml:space="preserve">9. Lūdzam papildināt Anotācijas kopsavilkumu ar informāciju par projekta spēkā stāšanās laiku. </w:t>
      </w:r>
    </w:p>
    <w:p w:rsidR="00B9330B" w:rsidRDefault="00B9330B" w:rsidP="00B9330B">
      <w:pPr>
        <w:jc w:val="both"/>
        <w:rPr>
          <w:u w:val="single"/>
        </w:rPr>
      </w:pPr>
    </w:p>
    <w:p w:rsidR="00B9330B" w:rsidRDefault="00B9330B" w:rsidP="00B9330B">
      <w:pPr>
        <w:jc w:val="both"/>
      </w:pPr>
      <w:r>
        <w:t xml:space="preserve">Papildus izsakām šādus priekšlikumus: </w:t>
      </w:r>
    </w:p>
    <w:p w:rsidR="00B9330B" w:rsidRDefault="00B9330B" w:rsidP="00B9330B">
      <w:pPr>
        <w:jc w:val="both"/>
      </w:pPr>
      <w:r>
        <w:t>1. Ierosinām no Noteikumu projekta 35. punkta izslēgt vārdu “tad”.</w:t>
      </w:r>
    </w:p>
    <w:p w:rsidR="00B9330B" w:rsidRDefault="00B9330B" w:rsidP="00B9330B">
      <w:pPr>
        <w:jc w:val="both"/>
      </w:pPr>
      <w:r>
        <w:t xml:space="preserve">2. Ierosinām precizēt terminu "kadastra dati", </w:t>
      </w:r>
      <w:proofErr w:type="gramStart"/>
      <w:r>
        <w:t>konkretizējot, kāda Nekustamā īpašuma valsts kadastra informācijas sistēmas informācija šeit ir</w:t>
      </w:r>
      <w:proofErr w:type="gramEnd"/>
      <w:r>
        <w:t xml:space="preserve"> paredzēta.</w:t>
      </w:r>
    </w:p>
    <w:p w:rsidR="00B9330B" w:rsidRDefault="00B9330B" w:rsidP="00B9330B">
      <w:pPr>
        <w:jc w:val="both"/>
      </w:pPr>
      <w:r>
        <w:t>Noteikumu projekta 12.1. apakšpunktā ir paredzēts noteikt, ka iznomātāja tīmekļvietnē 10 dienu laikā pēc lēmuma pieņemšanas publicē vismaz šādu informāciju – nomas objekts (kadastra dati);</w:t>
      </w:r>
    </w:p>
    <w:p w:rsidR="00B9330B" w:rsidRDefault="00B9330B" w:rsidP="00B9330B">
      <w:pPr>
        <w:jc w:val="both"/>
      </w:pPr>
      <w:r>
        <w:t>Noteikumu projekta 29.2. apakšpunktā ir paredzēts noteikt, ka nomas līgumā norāda vismaz šādu informāciju – iznomātais objekts (kadastra dati);</w:t>
      </w:r>
    </w:p>
    <w:p w:rsidR="00B9330B" w:rsidRDefault="00B9330B" w:rsidP="00B9330B">
      <w:pPr>
        <w:jc w:val="both"/>
      </w:pPr>
      <w:r>
        <w:t xml:space="preserve">Nekustamā īpašuma valsts kadastra informācijas sistēmas kadastra datu saturs ir </w:t>
      </w:r>
      <w:proofErr w:type="gramStart"/>
      <w:r>
        <w:t>noteikts Ministru kabineta 2012. gada 10. aprīļa noteikumu</w:t>
      </w:r>
      <w:proofErr w:type="gramEnd"/>
      <w:r>
        <w:t xml:space="preserve"> Nr. 263 "Kadastra objekta reģistrācijas un kadastra datu aktualizācijas noteikumi" 5. pielikumā, un dati ir ļoti dažādi.</w:t>
      </w:r>
    </w:p>
    <w:p w:rsidR="00B9330B" w:rsidRDefault="00B9330B" w:rsidP="00B9330B">
      <w:pPr>
        <w:jc w:val="both"/>
      </w:pPr>
      <w:r>
        <w:lastRenderedPageBreak/>
        <w:t>Ņemot vērā minēto,  Noteikumu projekta piemērotājiem varētu rasties neskaidrības, kādu Nekustamā īpašuma valsts kadastra informācijas sistēmas informāciju šeit ir nepieciešams iekļaut.</w:t>
      </w:r>
    </w:p>
    <w:p w:rsidR="00B9330B" w:rsidRDefault="00B9330B" w:rsidP="00B9330B"/>
    <w:p w:rsidR="00B9330B" w:rsidRDefault="00B9330B" w:rsidP="00B9330B"/>
    <w:p w:rsidR="00B9330B" w:rsidRDefault="00B9330B" w:rsidP="00B9330B">
      <w:pPr>
        <w:rPr>
          <w:rFonts w:ascii="Times New Roman" w:hAnsi="Times New Roman"/>
          <w:sz w:val="24"/>
          <w:szCs w:val="24"/>
          <w:lang w:eastAsia="lv-LV"/>
        </w:rPr>
      </w:pPr>
      <w:r>
        <w:rPr>
          <w:rFonts w:ascii="Times New Roman" w:hAnsi="Times New Roman"/>
          <w:sz w:val="24"/>
          <w:szCs w:val="24"/>
          <w:lang w:eastAsia="lv-LV"/>
        </w:rPr>
        <w:t>Toms Dreika</w:t>
      </w:r>
    </w:p>
    <w:p w:rsidR="00B9330B" w:rsidRDefault="00B9330B" w:rsidP="00B9330B">
      <w:pPr>
        <w:spacing w:before="120"/>
        <w:rPr>
          <w:rFonts w:ascii="Times New Roman" w:hAnsi="Times New Roman"/>
          <w:sz w:val="20"/>
          <w:szCs w:val="20"/>
          <w:lang w:eastAsia="lv-LV"/>
        </w:rPr>
      </w:pPr>
      <w:r>
        <w:rPr>
          <w:rFonts w:ascii="Times New Roman" w:hAnsi="Times New Roman"/>
          <w:sz w:val="20"/>
          <w:szCs w:val="20"/>
          <w:lang w:eastAsia="lv-LV"/>
        </w:rPr>
        <w:t>Tieslietu ministrijas</w:t>
      </w:r>
      <w:r>
        <w:rPr>
          <w:rFonts w:ascii="Times New Roman" w:hAnsi="Times New Roman"/>
          <w:sz w:val="20"/>
          <w:szCs w:val="20"/>
          <w:lang w:eastAsia="lv-LV"/>
        </w:rPr>
        <w:br/>
        <w:t xml:space="preserve">Civiltiesību departamenta </w:t>
      </w:r>
      <w:r>
        <w:rPr>
          <w:rFonts w:ascii="Times New Roman" w:hAnsi="Times New Roman"/>
          <w:sz w:val="20"/>
          <w:szCs w:val="20"/>
          <w:lang w:eastAsia="lv-LV"/>
        </w:rPr>
        <w:br/>
        <w:t>Vispārējo civiltiesību nodaļas jurists</w:t>
      </w:r>
      <w:r>
        <w:rPr>
          <w:rFonts w:ascii="Times New Roman" w:hAnsi="Times New Roman"/>
          <w:sz w:val="20"/>
          <w:szCs w:val="20"/>
          <w:lang w:eastAsia="lv-LV"/>
        </w:rPr>
        <w:br/>
        <w:t>Tālrunis: 67046107</w:t>
      </w:r>
      <w:r>
        <w:rPr>
          <w:rFonts w:ascii="Times New Roman" w:hAnsi="Times New Roman"/>
          <w:sz w:val="20"/>
          <w:szCs w:val="20"/>
          <w:lang w:eastAsia="lv-LV"/>
        </w:rPr>
        <w:br/>
        <w:t xml:space="preserve">E-pasts: </w:t>
      </w:r>
      <w:hyperlink r:id="rId6" w:history="1">
        <w:r>
          <w:rPr>
            <w:rStyle w:val="Hyperlink"/>
            <w:rFonts w:ascii="Times New Roman" w:hAnsi="Times New Roman"/>
            <w:color w:val="auto"/>
            <w:sz w:val="20"/>
            <w:szCs w:val="20"/>
            <w:lang w:eastAsia="lv-LV"/>
          </w:rPr>
          <w:t>Toms.Dreika@tm.gov.lv</w:t>
        </w:r>
      </w:hyperlink>
    </w:p>
    <w:p w:rsidR="00B9330B" w:rsidRDefault="00B9330B" w:rsidP="00B9330B">
      <w:pPr>
        <w:rPr>
          <w:rFonts w:ascii="Times New Roman" w:hAnsi="Times New Roman"/>
          <w:sz w:val="20"/>
          <w:szCs w:val="20"/>
          <w:lang w:eastAsia="lv-LV"/>
        </w:rPr>
      </w:pPr>
      <w:hyperlink r:id="rId7" w:history="1">
        <w:r>
          <w:rPr>
            <w:rStyle w:val="Hyperlink"/>
            <w:rFonts w:ascii="Times New Roman" w:hAnsi="Times New Roman"/>
            <w:color w:val="auto"/>
            <w:sz w:val="20"/>
            <w:szCs w:val="20"/>
            <w:lang w:eastAsia="lv-LV"/>
          </w:rPr>
          <w:t>www.tm.gov.lv</w:t>
        </w:r>
      </w:hyperlink>
      <w:r>
        <w:rPr>
          <w:rFonts w:ascii="Times New Roman" w:hAnsi="Times New Roman"/>
          <w:sz w:val="20"/>
          <w:szCs w:val="20"/>
          <w:lang w:eastAsia="lv-LV"/>
        </w:rPr>
        <w:t xml:space="preserve">  </w:t>
      </w:r>
    </w:p>
    <w:p w:rsidR="00B9330B" w:rsidRDefault="00B9330B" w:rsidP="00B9330B">
      <w:pPr>
        <w:rPr>
          <w:lang w:eastAsia="lv-LV"/>
        </w:rPr>
      </w:pPr>
      <w:r>
        <w:rPr>
          <w:rFonts w:ascii="Arial" w:hAnsi="Arial" w:cs="Arial"/>
          <w:noProof/>
          <w:color w:val="1F497D"/>
          <w:sz w:val="20"/>
          <w:szCs w:val="20"/>
          <w:lang w:eastAsia="lv-LV"/>
        </w:rPr>
        <w:drawing>
          <wp:inline distT="0" distB="0" distL="0" distR="0">
            <wp:extent cx="1248410" cy="977900"/>
            <wp:effectExtent l="0" t="0" r="8890" b="0"/>
            <wp:docPr id="1" name="Picture 1" descr="cid:image002.png@01D0D44C.43537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2.png@01D0D44C.435373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248410" cy="977900"/>
                    </a:xfrm>
                    <a:prstGeom prst="rect">
                      <a:avLst/>
                    </a:prstGeom>
                    <a:noFill/>
                    <a:ln>
                      <a:noFill/>
                    </a:ln>
                  </pic:spPr>
                </pic:pic>
              </a:graphicData>
            </a:graphic>
          </wp:inline>
        </w:drawing>
      </w:r>
    </w:p>
    <w:p w:rsidR="00B13F2C" w:rsidRDefault="00B13F2C"/>
    <w:sectPr w:rsidR="00B13F2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30B" w:rsidRDefault="00B9330B" w:rsidP="00B9330B">
      <w:r>
        <w:separator/>
      </w:r>
    </w:p>
  </w:endnote>
  <w:endnote w:type="continuationSeparator" w:id="0">
    <w:p w:rsidR="00B9330B" w:rsidRDefault="00B9330B" w:rsidP="00B93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30B" w:rsidRDefault="00B9330B" w:rsidP="00B9330B">
      <w:r>
        <w:separator/>
      </w:r>
    </w:p>
  </w:footnote>
  <w:footnote w:type="continuationSeparator" w:id="0">
    <w:p w:rsidR="00B9330B" w:rsidRDefault="00B9330B" w:rsidP="00B9330B">
      <w:r>
        <w:continuationSeparator/>
      </w:r>
    </w:p>
  </w:footnote>
  <w:footnote w:id="1">
    <w:p w:rsidR="00B9330B" w:rsidRDefault="00B9330B" w:rsidP="00B9330B">
      <w:pPr>
        <w:pStyle w:val="FootnoteText"/>
      </w:pPr>
      <w:r>
        <w:rPr>
          <w:rStyle w:val="FootnoteReference"/>
        </w:rPr>
        <w:t>[1]</w:t>
      </w:r>
      <w:r>
        <w:t xml:space="preserve"> A.Grūtups, </w:t>
      </w:r>
      <w:proofErr w:type="spellStart"/>
      <w:r>
        <w:t>E.Kalniņš</w:t>
      </w:r>
      <w:proofErr w:type="spellEnd"/>
      <w:r>
        <w:t xml:space="preserve">. Civillikuma komentāri. Trešā daļa. Lietu tiesības. Īpašums. Otrais papildinātais izdevums. – Rīga. Tiesu namu aģentūra, 2002, 322. lpp.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0B"/>
    <w:rsid w:val="00B13F2C"/>
    <w:rsid w:val="00B933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19505-0ABC-4894-A444-DF4722F8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30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330B"/>
    <w:rPr>
      <w:color w:val="0563C1"/>
      <w:u w:val="single"/>
    </w:rPr>
  </w:style>
  <w:style w:type="paragraph" w:styleId="FootnoteText">
    <w:name w:val="footnote text"/>
    <w:basedOn w:val="Normal"/>
    <w:link w:val="FootnoteTextChar"/>
    <w:uiPriority w:val="99"/>
    <w:semiHidden/>
    <w:unhideWhenUsed/>
    <w:rsid w:val="00B9330B"/>
    <w:rPr>
      <w:sz w:val="20"/>
      <w:szCs w:val="20"/>
    </w:rPr>
  </w:style>
  <w:style w:type="character" w:customStyle="1" w:styleId="FootnoteTextChar">
    <w:name w:val="Footnote Text Char"/>
    <w:basedOn w:val="DefaultParagraphFont"/>
    <w:link w:val="FootnoteText"/>
    <w:uiPriority w:val="99"/>
    <w:semiHidden/>
    <w:rsid w:val="00B9330B"/>
    <w:rPr>
      <w:rFonts w:ascii="Calibri" w:hAnsi="Calibri" w:cs="Times New Roman"/>
      <w:sz w:val="20"/>
      <w:szCs w:val="20"/>
    </w:rPr>
  </w:style>
  <w:style w:type="character" w:styleId="FootnoteReference">
    <w:name w:val="footnote reference"/>
    <w:basedOn w:val="DefaultParagraphFont"/>
    <w:uiPriority w:val="99"/>
    <w:semiHidden/>
    <w:unhideWhenUsed/>
    <w:rsid w:val="00B933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35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t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s.Dreika@t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cid:image001.png@01D42044.2EFBDC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4656</Words>
  <Characters>2654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2019-01-15T12:28:00Z</dcterms:created>
  <dcterms:modified xsi:type="dcterms:W3CDTF">2019-01-15T12:30:00Z</dcterms:modified>
</cp:coreProperties>
</file>