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22-TA-593: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Atveseļošanas un noturības mehānisma plāna 2. komponentes “Digitālā transformācija” 2.3. reformu un investīciju virziena “Digitālās prasmes” 2.3.1.2.i. investīcijas “Uzņēmumu digitālo prasmju attīstība”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I. Vispārīgie jautājumi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noteikumu projektu, t.sk. numerāciju, atsauces uz punktiem, saīsinājumu lietošanu un norādīt informāciju secīgi un strukturēti, piemēram, visu informāciju par projektu iesniegumu vērtēšanu un atlasi vienkopus, vienas sadaļas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Fomčenkova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Investīcijas ietvaros ir noteikti šādi: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punktu ar kopējo rādītāju </w:t>
            </w:r>
            <w:r w:rsidR="00000000" w:rsidRPr="00000000" w:rsidDel="00000000">
              <w:rPr>
                <w:i w:val="1"/>
                <w:rtl w:val="0"/>
              </w:rPr>
              <w:t xml:space="preserve">"Izglītības vai apmācības dalībnieku skaits"</w:t>
            </w:r>
            <w:r w:rsidR="00000000" w:rsidRPr="00000000" w:rsidDel="00000000">
              <w:rPr>
                <w:rtl w:val="0"/>
              </w:rPr>
              <w:t xml:space="preserve">, kā arī noteikumu projektā paredzēt pienākumu finansējuma saņēmējam uzkrāt dalībnieku datus un divas reizes gadā iesniegt Vadības informācijas sistēmā dalībnieku pārskatu.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Fomčenkova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mērķi: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izziņas 18.punktā ietverto Finanšu ministrijas iebildumu, lūdzam atkārtoti izvērtēt mērķa “līdz 2025.gada 31.decembrim pieaugušo izglītībā iesaistīto pieaugušo (vecumā no 25 līdz 64 gadiem) īpatsvars pēdējās četrās nedēļās pirms apsekojuma (8 %)” iekļaušanu noteikumu projektā, sniedzot ieguldījumu kopā ar IZM minētā mērķa sasniegšanā, ņemot vēra, ka noteikumu projekts paredz sniegt ieguldījumu pieaugušo izglītībā.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Otrās kārtas īstenošanai tiek organizēts atklāts projektu iesniegumu konkurss.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pamatot, kādēļ otrā kārta paredzēta atklāta. Ņemot vērā iesniedzējam izvirzītos nosacījumus attiecībā uz reģistrēšanas ilgumu, apgrozījumu, pieredzi apmācību projektu īstenošanā, pirmsšķietami ir identificējams, ka atbalsts ir paredzēts biedrībām, kas līdz šim īstenojušas apmācību projektus 1.2.2.1. pasākuma "Atbalsts nodarbināto apmācībām" ietvaros. EM iepriekš skaidrojusi, ka "šie kritēriji neizslēdz konkurenci starp potenciālajiem projektu iesniedzējiem. Tāpat otrās kārtas īstenošanai atvēlētais finansējums un limits vienam projektu iesniegumam paredz, ka investīcijas īstenošanai apstiprināt varēs mazāku skaitu pretendentu kā līdz šim dažādās apmācību programmās, līdz ar ko nebūtu korekti teikt, ka ir identificējami finansējuma saņēmēji". MKN projekts paredz, ka vienam projektam maksimāli pieejamais AF finansējums ir 780 000 eiro, t.i., iespējams atbalstīt vismaz 10 projektu iesniegumus. 1.2.2.1. pasākuma 1. kārtā tika iesniegti 13 projektu iesniegumi, no kuriem 10 apstiprināti un 3 noraidīti, taču neatbilstības kritērijiem nevis finansējuma nepietiekamības dēļ. 2. kārtā tika iesniegti 6 projektu iesniegumi, no kuriem 5 apstiprināti un 1 noraidīts neatbilstības kritērijiem nevis finansējuma nepietiekamības dēļ. Ņemot vērā minēto, nesaredzam, ka būtu iespējama konkurence par finansējuma saņemšanu starp potenciālajiem projektu iesniedzējiem. Papildus vēršam uzmanību uz 2022. gada 14. decembra Revīzijas ziņojumu Nr. DR/ESIF/2022/1-4, kur tika konstatēta iespēja turpmākiem pilnveidojumiem 1.2.1.1. pasākumā "Atbalsts jaunu produktu un tehnoloģiju izstrādei kompetences centru ietvaros", kas tiek īstenots pēc līdzīgiem principiem, attiecībā uz atklātas atlases procedūras izvēli, kad pēc būtības ir konstatējama ierobežota projektu atlase.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Austriņa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Komercdardarbības atbalsts investīcijas ietvaros tiek sniegts granta veidā.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noteikumu projekta 14.punktā vārdu "Komercdarbības" ar vārdu "Investīcijas", ņemot vērā, ka noteikumi nosaka investīcijas ieviešanas nosacījumus un atbalsta veids ir viens no nosacījumiem. Attiecīgu precizējumu lūdzu veikt visā tekstā.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Pirmās atlases kārtas ietvaros projekta iesniedzējs ir EDIC, kurš atbilst šādiem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noteikumus ar nosacījumu, ka arī EDIC tiks izvērtēts atbilstoši Finanšu regulas 136.pantā noteiktajiem izslēgšanas nosacījumiem.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Pirmās atlases kārtas ietvaros projekta iesniedzējs drīkst iesniegt vienu projekta iesniegumu.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16. punktu, ņemot vērā, ka tas dublē noteikumu projekta 19.punktā minēto.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Pirmās atlases kārtas ietvaros projekta iesniedzējs sagatavo projekta iesniegumu saskaņā ar šajos noteikumos minētajām prasībām un iesniedz projektu Kohēzijas politikas fondu vadības informācijas sistēmā (turpmāk – Vadības informācijas sistēma) ministrijas noteiktā termiņā. Ja uz projekta iesniegšanas brīdi vēl nav nodrošināta vadības informācijas sistēmas funkcionalitāte, projekta iesniedzējs iesniedz projektu ministrijai elektroniskā dokumenta veidā ar drošu elektronisko parakstu.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vai apvienot noteikumu projektu 17.punktu ar 20.punktu, ņemot vērā, ka punktos noteiktais regulējums pārklājas.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 tā ir reģistrēta Latvijas Republikas Uzņēmumu reģistra biedru reģistrā vismaz piecus gadus pirms projekta iesnieguma iesniegšanas CFLA;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izvērtēt, vai šādam minimālā termiņa noteikšanai ir pamatojums noteikumu projekta izstrādātāja pusē (potenciāli diskriminējoša prasība/liegts atbalsts jaunizveidotiem subjektiem) un sniegt skaidrojumu izziņā. Ja nav pamatojums, rosinājums šo svītrot, jo kapacitātes pārbaude tiks veikta caur citiem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izziņā ir norādīts, ka iepriekš izteiktais iebildums ir "ņemts vērā" , bet apakšpunkta redakcija nav mainīta.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18.4. kopējais Latvijā reģistrēto biedrības biedru (komersantu) apgrozījums pēdējā noslēgtajā pārskata gadā pārsniedz 142 miljonus </w:t>
            </w:r>
            <w:r w:rsidR="00000000" w:rsidRPr="00000000" w:rsidDel="00000000">
              <w:rPr>
                <w:i w:val="1"/>
                <w:rtl w:val="0"/>
              </w:rPr>
              <w:t xml:space="preserve">euro </w:t>
            </w:r>
            <w:r w:rsidR="00000000" w:rsidRPr="00000000" w:rsidDel="00000000">
              <w:rPr>
                <w:rtl w:val="0"/>
              </w:rPr>
              <w:t xml:space="preserve">(ņemot vērā arī to komersantu apgrozījumu, kas nav projekta iesniedzēja biedri, bet ir biedri kādā no organizācijām, kas ir projekta iesniedzēja biedri);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kādēļ ir paredzēta iespēja ņemt vērā iesniedzēja biedru (organizāciju) biedru (komersantu) apgrozījumu, bet iesniedzēja biedru (komersantu) dalībnieku (komersantu) apgrozījumu nē? Vai šī prasība nevarētu ietekmēt iespējamo pretendentu loku, t.i., ieskaitot arī biedru dalībniekus, iespējams, uz finansējumu varētu pretendēt arī kāda mazāka biedrība, kas līdz šim nav saņēmusi atbalstu apmācībām? Skat. kontekstā ar vispārīgo jautājumu par ierobežotu pretendentu loku.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Austriņa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18.5. tai ir iepriekšēja pieredze prasmju pilnveides projektu īstenošanā vismaz trīs gadus ar dažādiem atbalsta projektiem, kas saistīti ar prasmju pilnveidi konkrētās nozares apmācībās un pēc apmācību kursu beigšanas izsniedz izglītību apliecinošu dokumentu;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precīzāku informāciju prasības izvērtēšanai, t.sk. vai pieredzei jābūt trīs nepārtrauktus gadus vai atbilstoša būtu, piemēram, dalība atbalsta projektos ar pusgada pārtraukumu pēdējo trīs gadu intervālā.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Austriņa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18.6. ja vairākiem nozaru projektu iesniegumiem otrās kārtas ietvaros ir vienāds punktu skaits, priekšroka ir projektam, kas investīcijas otrās atlases kārtas kvalitātes kritērijā "Projektā plānotais apmācāmo komersantu skaits" un kvalitātes kritērijā "Iepriekšējā pieredze" ir ieguvis augstāku punktu skaitu atbilstoši šo noteikumu </w:t>
            </w:r>
            <w:r w:rsidR="00000000" w:rsidRPr="00000000" w:rsidDel="00000000">
              <w:rPr>
                <w:rtl w:val="0"/>
              </w:rPr>
              <w:t xml:space="preserve">1. </w:t>
            </w:r>
            <w:r w:rsidR="00000000" w:rsidRPr="00000000" w:rsidDel="00000000">
              <w:rPr>
                <w:rtl w:val="0"/>
              </w:rPr>
              <w:t xml:space="preserve">pielikumu</w:t>
            </w:r>
            <w:r w:rsidR="00000000" w:rsidRPr="00000000" w:rsidDel="00000000">
              <w:rPr>
                <w:rtl w:val="0"/>
              </w:rPr>
              <w:t xml:space="preserve">  noteiktajiem projekta iesnieguma vērtēšanas kritērijiem;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skaidru secību, kādā tiek vērtēti izšķirošie kritēriji vienāda punktu skaita gadījumā, jo var būt situācijas, kad vienā no minētajiem kritērijiem projekta iesniegums saņem augstāku punktu skaitu nekā konkurents, taču otrā - zemāku, kā arī nodrošināt kritēriju nosaukumu atbilstību projektu iesniegumu vērtēšanas kritērijiem vai norādīt salīdzināmos rādītājus neatkarīgi no kvalitātes kritērijiem.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vairākiem projektu iesniegumiem otrās kārtas ietvaros ir vienāds punktu skaits, priekšroka ir projektam, kurā plānots lielākais apmācāmo komersantu skaits. Ja projektu iesniegumos plānotais apmācāmo komersantu skaits ir vienāds, priekšroka ir projektam, kas ir ieguvis augstāku punktu skaitu kvalitātes kritērijā Nr. 3.1.2. "Projekta iesniedzēja apmācību projektu īstenošanas pieredze".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Austriņa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Pirmās un otrās atlases kārtas ietvaros projekta iesniedzējs iesniedz projekta iesniegumu Vadības informācijas sistēmā, pievienojot šādus dokumentus: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noteikumus ar kārtību, kādā projekta iesniedzēji uzzinās par projektu iesniegumu iesniegšanas termiņiem un kārtību, t.i., kurš uzaicinās.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Pirmās un otrās atlases kārtas ietvaros projekta iesniedzējs iesniedz projekta iesniegumu Vadības informācijas sistēmā, pievienojot šādus dokumentus: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informāciju par pirmās kārtas projektu iesniegumu atlasi, t.i. kādā termiņā ir jāiesniedz projekta iesniegums Vadības informācijas sistēmā, kādā termiņā un atbilstoši kādiem kritērijiem Ekonomikas ministrija izvērtē projektu iesniegumus, norādīt nosacījumus projektu iesnigumu precizēšanai, apstiprināšanai, noraidīšanai, kā arī norādīt kārtību, kādā Ekonomikas ministrija informē CFLA, ka tā var uzsākt līgumu slēgšanas procesu. Kā paraugu ierosinām izmantot AF 2.2.1.1.i. investīcijas MK noteikumus.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Fomčenkova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 biedrības biedru sarakstu;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ar biedru biedru saraksta/-u iesniegšanu, ņemot vērā, ka tos var ņemt vērā apgrozījuma un, iespējams, citu biedru rādītāju (skat. komentāru par kvalitātes kritēriju Nr. 3.1) pamatošanai, kas ietekmē projekta vērtējumu.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biedrības biedru sarakstu un biedru, kas nav projekta iesniedzēja biedri, bet ir biedri kādā no organizācijām, kas ir projekta iesniedzēja biedri, sarakstu/-s, ja projekta iesniedzējs balstās uz to rādītājiem apgrozījuma vai citu biedru rādītāju pamatošanai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Austriņa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 biedrības biedru sarakstu;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noteikumu projekta 20.1.apakšpunktā noteiktā kritērija piemērošanu attiecībā uz pirmo atlases kārtu.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vēršam uzmanību, ka noteikumu projekta 20.1.apakšpunkts pārklājas ar noteikumu projekta 23.13.apakšpunktu.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23.3. reizi ceturksnī nodrošināt datu ievadi Vadības informācijas sistēmā par komercdarbības atbalstu saņēmušajiem gala labuma guvējiem;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maksājumu pieprasījumus finansējuma saņēmēji iesniegs reizi pusgada, lūdzam precizēt arī šajā apakšpunktā datu ievades biežumu uz reizi pusgadā.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Fomčenkova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23.5. izstrādāt un saskaņot ar CFLA komercdarbības atbalsta piešķiršanas gala labuma guvējam metodoloģiju;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MKN 23.5.punkts būtu saskaņots ar MKN 22.2.punktu, lūdzam to papildināt, ka norādītā metodoloģija ar CFLA ir jāsaskaņo pēc līguma par projekta īstenošanu noslēgšanas.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Cintija Ripa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23.7. lēmumus par komercdarbības atbalsta piešķiršanu gala labuma guvējam pieņemt ne vēlāk kā šo noteikumu 80.punktā un 81.punktā minētajos termiņos.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atsauci uz MKN punktiem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Kalenda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23.8. iesniegt CFLA  pieprasījumus divas reizes gadā, tajā iekļaujot izdevumu un sasniegto rādītāju pamatojošos dokumentus. Pēdējo maksājuma pieprasījumu iesniedz Vadības informācijas sistēmā ne vēlāk kā līdz 2026. gada 30. jūnijam;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apakšpunktā vārdu "pieprasījumus" ar "maksājumu pieprasījumus".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Fomčenkova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23.9. iesniegt ministrijai pēc tās pieprasījuma šo noteikumu 22.5. apakšpunktā minēto ziņojumu, iekļaujot tajā informāciju par: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atsauci uz MKN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Kalenda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23.12. nodrošināt Eiropas Komisijas vadlīnijas “Tehniskie norādījumi par principa “nenodarīt būtisku kaitējumu”” piemērošanu saskaņā ar Komisijas regulu Nr. 2021/241 pakalpojumu sniegšanā gala labuma guvējiem. Komercdarbības atbalstam kvalificētā gala labuma guvēja līgumā iekļaut informāciju par būtiska kaitējuma nodarošo iniciatīvu neatbalstīšanu saskaņā ar Atveseļošanas fonda plāna 1.pielikumā noteikto;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Finanšu ministrijas iebildumu, kas ir ietverts izziņas 74.punktā, lūdzam attiecīgo skaidrojumu par Padomes 2021,gada 22.jūnija īstenošanas lēmuma Nr.2021/0164 par Latvijas atveseļošanas un noturības plāna novērtējuma apstiprināšanu pielikumā noteikto (sk. izziņas 74.punktu) ietvert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23.13. iesniegt biedru sarakstu, kopā ar projekta iesniegumu, kurā norāda katra biedra apgrozījumu, pamatojoties uz šo noteikumu 18.4 apakšpunktu;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kā vērtēšanas komisija pārliecināsies par datu atbilstību - kas ir projekta iesniedzēja biedri vai biedru biedri (piemēram, biedru sarakstiem jābūt attiecīgās biedrības paraksttiesīgās personas parakstītiem un tie tiek salīdzināti ar publiski pieejamo informāciju (ja tāda ir), un kāds ir to apgrozījums (piemēram, tiek izmantoti Lursoft dati no pēdējā apstiprinātā gada pārskata). Papildus aicinām papildināt ar biedru biedru saraksta/-u iesniegšanu, ņemot vērā, ka tos var ņemt vērā apgrozījuma un, iespējams, citu biedru rādītāju (skat. komentāru par kvalitātes kritēriju Nr. 3.1) pamatošanai, kas ietekmē projekta vērtējumu, kā arī izvērtēt, vai iesniedzamajā biedru sarakstā obligāti jānorāda arī apgrozījums, ņemot vērā, ka tas jebkurā gadījumā būtu jāpārbauda gada pārskatos, līdz ar to rodas potenciāls neatbilstībām starp sarakstu un vērtēšanā izmantoto informāciju, kas būs jālabo.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Austriņa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23.14. elektroniski parakstīt šo noteikumu </w:t>
            </w:r>
            <w:r w:rsidR="00000000" w:rsidRPr="00000000" w:rsidDel="00000000">
              <w:rPr>
                <w:rtl w:val="0"/>
              </w:rPr>
              <w:t xml:space="preserve">2. </w:t>
            </w:r>
            <w:r w:rsidR="00000000" w:rsidRPr="00000000" w:rsidDel="00000000">
              <w:rPr>
                <w:rtl w:val="0"/>
              </w:rPr>
              <w:t xml:space="preserve">pielikumu</w:t>
            </w:r>
            <w:r w:rsidR="00000000" w:rsidRPr="00000000" w:rsidDel="00000000">
              <w:rPr>
                <w:rtl w:val="0"/>
              </w:rPr>
              <w:t xml:space="preserve">  esošo objektivitātes, konfidencialitātes un interešu konflikta neesības apliecinājumu, visiem, kas iesaistās lēmuma pieņemšanas procesā par komercdarbības atbalsta piešķiršanu gala labuma guvējam. Apliecinājumu paraksta pirms Atveseļošanas fonda projekta pieteikuma izskatīšanas. Apliecinājumu finansējuma saņēmējs glabā atbilstoši Komisijas regulas Nr. 2018/1046 132. pantam un šo noteikumu 118. punktam.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punktu atbilstoši investīcijai, jo punkts ir pārkopēts no MKN Nr.418, atstājot arī atsauci uz MKN 118.punktu, kur šajos MKN tādu punkta nav. Papildus norādām, ka gala labum guvējs neiesniedz Atveseļošanas fonda projekta pieteikumu. Lūdzu skaidrot, kāpēc 2.pielikums ir jāparaksta jau pirms Atveseļošanas fonda projekta pieteikuma izskatīšanas.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Kalenda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25.2. neatbilst izslēgšanas kritērijiem, kas noteikti Komisijas regula Nr. 2018/1046 136. pantā.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svītrot noteikumu projekta 25.2. apakšpunktu, ņemot vērā, ka attiecīgais nosacījums tiek pārbaudīts pirms tiek slēgts līgums par projekta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25.2. neatbilst izslēgšanas kritērijiem, kas noteikti Komisijas regula Nr. 2018/1046 136. pantā.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pārnest šo apakšpunktu uz noteikumu projekta sadaļu, kurā tiek atrunāta projektu iesniegumu atlase, kā arī precizēt, ka pirmās kārtas ietvaros izslēgšanas kritērijus pārbauda Ekonomikas ministrija, izvērtējot projektus, savukārt, otrās kārtas ietvaros izslēgšanas kritērijus izvērtē CFLA, veicot projektu iesniegumu atlasi.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Fomčenkova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CFLA pirms līguma noslēgšanas pārliecinās, ka finansējuma saņēmējs: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26.punktā noradītā kārtībā ir attiecināma tikai uz 1.kārtas projektu īstenošanu, jo tajā vienlaicīgi ar līguma noslēgšanas brīdi arī tiks pieškirts komercdarbības atbalsts. Savukārt 2.kārtas projektos komercdarbības atbalsts finansējuma saņēmējiem tiks piešķirts, jau apstiprinot projekta iesniegumus, kā rezultātā nav nepieciešamība 26.1. un 26.2.apakšpunkā uzskaitītās darbības atkārtoti veikt vēl pirms līguma noslēgšanas. Lūdzam veikt nepieciešamās redakcionālās korekcijas MKN 26.punktā.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Cintija Ripa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Projektu iesniegumu vērtēšanas komisija projektu iesniegumu atlases termiņā saņemtos projektu iesniegumus vērtē atbilstoši šo noteikumu </w:t>
            </w:r>
            <w:r w:rsidR="00000000" w:rsidRPr="00000000" w:rsidDel="00000000">
              <w:rPr>
                <w:rtl w:val="0"/>
              </w:rPr>
              <w:t xml:space="preserve">1. </w:t>
            </w:r>
            <w:r w:rsidR="00000000" w:rsidRPr="00000000" w:rsidDel="00000000">
              <w:rPr>
                <w:rtl w:val="0"/>
              </w:rPr>
              <w:t xml:space="preserve">pielikuma</w:t>
            </w:r>
            <w:r w:rsidR="00000000" w:rsidRPr="00000000" w:rsidDel="00000000">
              <w:rPr>
                <w:rtl w:val="0"/>
              </w:rPr>
              <w:t xml:space="preserve">  iekļautajiem projektu iesniegumu vērtēšanas kritērijiem: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projektu iesniegumu vērtēšanas secību, nodrošinot, ka vispirms tiek vērtēti izslēgšanas kritēriji, tad izslēdzošie kvalitātes kritēriji un tikai tad precizējamie atbilstības un neizslēdzošie kvalitātes kritēriji, netērējot administratīvos resursus situācijām, kad projekta iesniegums nesasniedz minimālās kvalitātes prasības. Vienlaikus skat. komentāru par kritēriju Nr.2.1.1. - ja komentārs tiek ņemts vērā, to jāparedz vērtēšanas secībā pirms izslēdzošajiem kvalitātes kritērijiem.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Austriņa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Projektu iesniegumu vērtēšanas komisija projektu iesniegumu atlases termiņā saņemtos projektu iesniegumus vērtē atbilstoši šo noteikumu </w:t>
            </w:r>
            <w:r w:rsidR="00000000" w:rsidRPr="00000000" w:rsidDel="00000000">
              <w:rPr>
                <w:rtl w:val="0"/>
              </w:rPr>
              <w:t xml:space="preserve">1. </w:t>
            </w:r>
            <w:r w:rsidR="00000000" w:rsidRPr="00000000" w:rsidDel="00000000">
              <w:rPr>
                <w:rtl w:val="0"/>
              </w:rPr>
              <w:t xml:space="preserve">pielikuma</w:t>
            </w:r>
            <w:r w:rsidR="00000000" w:rsidRPr="00000000" w:rsidDel="00000000">
              <w:rPr>
                <w:rtl w:val="0"/>
              </w:rPr>
              <w:t xml:space="preserve">  iekļautajiem projektu iesniegumu vērtēšanas kritērijiem: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Joprojām uzturam Finanšu ministrijas iebildumu, kas ir ietverts izziņas 79.punktā un lūdzam pārskatīt projektu iesniegumu kritērijus, tajos ietverot kvalitatīvos kritērijus,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kritēriju par finansējuma saņēmēju piedāvāto pakalpojumu atbilstību investīcijas mērķim;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ņemot vērā, ka otrajā kārtā plānots sniegt klātienes apmācības, tad lūdzam izvērtēt vai nebūtu jāvērtē arī finansējuma saņēmēja piedāvātais reģionālais pakalpojumu pārklājums;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vai būtu jāvērtē finansējuma saņēmēja sadarbības potenciāls ar zinātniskajām institūcijām, augstskolām vai citām izglītības iestādēm.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31.18. kiberdrošības apmācības.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izziņas 85.punktā noteikto iebildumu un veiktos precizējumus, ar kuriem tika papildināts noteikumu projekts ar 31.18 apakšpunktu, lūdzam sniegt skaidrojumu kā tiks nodrošināta demarkācija kiberdrošības apmācībām, ņemot vērā, ka tās tiks nodrošinātas gan pirmajā, gan otrajā atlases kārtā.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Otrās kārtas ietvaros apmācības komersantam var sniegt tā saistītās personas, kas atbilst Komisijas regulas Nr. 651/2014 1. pielikuma 3. panta 3. punktā noteiktajai definīcijai, ja saistītā persona ir izvēlēta atbilstoši šo noteikumu 42. punkta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vēra, ka noteikumu projekta 42.punktā nav noteikta izvēles procedūra, aicinām pārskatīt noteikumu projekta 32.punktā ietverto atsauci un to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Veidojot šo noteikumu 29. punktā minēto atbalstāmo tiešsaistes kursu sarakstu, finansējuma saņēmējs izvēlas kursus, kas atbilst šādām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atsauci uz MKN 29.punktu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Kalenda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35.3. izvēlētie atvērto tiešsaistes platformu kursi atbilst šo noteikumu 25. punktā minētajām apmācību jomām.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atsauci uz MKN 25.punktu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Kalenda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Ja gala labuma guvējs pirmās kārtas ietvaros izvēlas atvērto tiešsaistes kursu, kas nav iekļauts šo noteikumu 29. punktā minētajā sarakstā, finansējuma saņēmējs izvērtē atvērto tiešsaistes kursu atbilstību šo noteikumu 30. punktā minētajām prasībām un par rezultātu paziņo gala labuma guvējam.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atsauces uz MKN punktiem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Kalenda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37.3. apmācībām jomās, kas nav iekļautas šo noteikumu 25. un 26. 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atsauces uz MKN punktiem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Kalenda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Apmācībās iesaistītais gala labuma guvēja nodarbinātais visu kārtu ietvaros nedrīkst apgūt vienu un to pašu apmācību kursu vairāk par vienu reizi. Šī norma attiecināma arī uz nodarbinātajiem, ja tie ir saņēmuši atbalstu konkrētā apmācību kursa apguvei Eiropas Savienības struktūrfondu un Kohēzijas fonda 2014.-2020.gada plānošanas perioda darbības programmas “Izaugsme un nodarbinātība” pasākumu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MKN 20.2.punktu, ka finansējuma saņēmējam ir jāiestrādā kontroles IKS, kā tas šos nosacījumus pārbaudīs.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Kalenda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40.1.1.3. atbalsta ietvaros finansējuma saņēmējam segt tiešsaistes platformas;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noteikumu projekta 40.1.1.3.apakšpunktu, jo nav skaidrs, kādas izmaksas ir plānots segt.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40.2.1. apmācību kursu izmaksas, kas tieši saistītas ar investīcijas otrās kārtas projektu: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Finanšu ministrijas izteikto iebildumu, kas iekļauts izziņas 91.punktā un atkārtoti lūdzam noteikumu projekta 40.2.1.apakšpunktā saglabāt sasaisti ar mācību projektu nevis investīcijas projektu, jo investīcija šo noteikumu projekta ietvaros ir visa atbalsta programma.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40.2.6. tiešsaistes platformu abonementu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joprojām nav skaidrs, kādas tiešsaistes platformu abonementu izmaksas tiek plānots segt otrās kārtas ietvaros, lūdzam papildināt anotāciju ar informāciju, kādas tieši tiešsaistes platformas izmaksas tiek plānotas otrās kārtas ietvaros, un kas tās segs - finansējuma saņēmējs vai gala labuma guvējs, un, atbilstoši izmaksu attiecināmībai, lūdzam precizēt noteikumu projekta 40.apakšpunktus. Vēršam uzmanību, ka ne visas izmaksas var attiecināt uz gala labuma guvējiem saskaņā ar Komisijas regulas Nr. 651/2014 31.panta 3.punkta nosacījumiem - piemēram, tiešsaistes platformas abonementa izmaksas, ja vien abonementa maksa nav jāmaksā, lai pieslēgtos platformai, attiecīgi ir nepieciešams saprast, kurš subjekts reāli gūs labumu no tiešsaistes platformu abonementa.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Investīcijas ietvaros noslēgto pakalpojumu līgumu, tai skaitā šo noteikumu 39.1.1.3., 39.1.2., 39.2.2. un 39.2.5. apakšpunktā minēto darbību izpildei, līgumu darbības termiņš ir līdz 2026. gada 30. jūnijam.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atsauci uz MKN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Kalenda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 izmaksas, kas šo noteikumu 35. punktā nav noteiktas kā attiecināmas vai pārsniedz izmaksu apmēra ierobežojumus;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atsauci uz MKN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Kalenda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 nodokļi, t.sk. pievienotās vērtības nodoklis, muitas nodokļi, nodevas un soda maksājumi, izņemot šo noteikumu 39.2.1.1.  un 39.3. apakšpunktā minētos gadījumus. Gadījumā, ja šādas izmaksas ir radušās, tās ir izmaksas gala labuma guvējam;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atsauces uz MKN punktiem. Papildus precizēt, vai nodokļi, kas saistīti ar finansējuma saņēmēja projekta vadību ir attiecināms uz gala labuma guvēju.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Kalenda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42.3. projekta izmaksas, kas nav tieši saistītas ar projekta ietvaros veiktajām darbībām, nav izmērāmas, samērīgas, pamatotas ar izdevumus apliecinošiem dokumentiem un nav ievēroti saimnieciskuma, lietderības un efektivitātes principi, kā arī izmaksas, kas radušās un samaksātas pirms iesnieguma par projekta īstenošanu iesniegšanas Vadības informācijas sistēmā. Ja projekta iesniedzējs uzsāk atbalstāmās darbības pirms līguma noslēgšanas ar CFLA, projekta iesniedzējs uzņemas visus riskus par saistībām, ko tas ir uzņēmies, un izdevumu neattiecināmību.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"un samaksātas", ņemot vērā, ka Regulā Nr.651/2014 atrunātā darbu sākuma definīcija ir plašāka par faktisku maksājumu.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Austriņa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42.4. gala labuma guvēja izmaksas, kas radušās pirms līguma noslēgšanas ar finansējuma saņēmēju.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ja projekts tiks īstenots saskaņā ar Komisijas regulu Nr.651/2014 un tas būs uzsākts pirms projekta iesnieguma iesniegšanas, tad visas projekta izmaksas būs neattiecināmas, jo tiks pārkāpts stimulējošās ietekmes nosacījums, kā noteikts Komisijas regulas Nr.651/2014 6.pantā.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tiek ievērotas stimulējošās ietekmes prasības, lūdzam pārskatīt un precizēt noteikumu projekta 42.4.apakšpunktu, kā arī novērst pretrunas ar noteikumu projekta 39.punktā noteikto. Ievērojot augstāk minēto, lūdzam precizēt arī noteikumu projekta 39.punktu, kurā ir noteikts, ka gala labuma guvēja radušās izmaksas var attiecināt no tā brīža, kad finansējuma saņēmējs ir pieņēmis lēmumu par komercdarbības atbalsta piešķiršanu.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Šo noteikumu 39.3. apakšpunktā minēto projekta vadību var veikt: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atsauci uz MKN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Kalenda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Finansējuma saņēmējs uzkrāj Vadības informācijas sistēmā vismaz šādus datus, kurus atjauno ne retāk kā reizi ceturksnī: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paredzēt, ka šajā punktā norādīto informāciju Finansējuma saņēmējs uzkrāj un iesniedz Nozares ministrijai pēc pieprasījuma, līdzīgi kā ES fondu 2014.-2020. gada plānošanas perioda 1.2.2.1. pasākuma ietvaros, savukārt, šīs investīcijas ietvaros paredzēt finansējuma saņēmējiem pienākumu divas reizes gadā iesniegt Vadības informācijas sistēmā dalībnieku pārskatu. Norādām, ka dalībnieku pārskats satur šādus datu laukus- dalībnieka vārds, uzvārds, personas kods, vecums, dzimums, darbības/apmācību nosaukums, apmācību sākuma un beigu datums, kā arī dalībnieka statuss darba tirgū.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Fomčenkova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Finansējuma saņēmējs atbilstoši ar Komisijas regulas Nr. 2021/241 34. pantā minēto ne retāk kā reizi sešos mēnešos savā tīmekļvietnē ievieto aktuālo informāciju par projekta īstenošanas gaitu un sniegtajām apmācībām, tai skaitā šo noteikumu 44.1. un 44.4. apakšpunktā norādīto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atsauci uz MKN punktiem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Kalenda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Finansējuma saņēmējs projekta īstenošanai nepieciešamo preču un pakalpojumu iegādi veic saskaņā ar normatīvajiem aktiem publisko iepirkumu jomā, īstenojot atklātu, pārredzamu, nediskriminējošu un konkurenci neierobežojošu procedūru, atbalsta piešķiršanas termiņi ir noteikti šo noteikumu 74. un 75 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atsauci uz MKN punktiem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Kalenda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Finansējuma saņēmējs vērtē šo noteikumu 35. punktā minēto apmācību kursu izmaksu ekonomisko pamatotību, tai skaitā atbilstību tirgus cenām, un kursu lietderību.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atsauci uz MKN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Kalenda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Projekta īstenošanas laikā finansējuma saņēmējs var saņemt avansa maksājumu, kas nepārsniedz 30 % no projekta Atveseļošanas fonda finansējuma apmēra, vienlaikus nodrošinot, ka avansa maksājumu kopsumma nepārsniedz 90% no projekta Atveseļošanas fonda finansējuma apmēra, ja tiek ievēroti šādi nosacījumi: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punktu, norādot, ka avansa un starpposma maksājumu kopsumma nepārsniedz 90% no projekta Atveseļošanas fonda finansējuma apmēra.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Fomčenkova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57.2. projekta īstenošanas vieta attiecas uz apmācīto nodarbināto darba vietu;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anotācijā skaidrot, kā piemērojams nosacījums "īstenošanas vieta attiecas uz apmācīto nodarbināto darba vietu".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Kalenda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Komercdarbības atbalsta piešķiršanas kārtība gala labuma guvējam viena vienota uzņēmuma līmenī ir šāda: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58.punkta redakciju, ņemot vērā, ka tikai de minimis atbalsta gadījumā gala labuma guvēju atbilstību vērtē viena vienota uzņēmuma ietvaros, t.i. vai tiešām šādi tiks vērtēts arī atbalsta pretendents, ja tam atbalstu piešķirs ar Komisijas regulu Nr.651/2014? Vēršam uzmanību, ka, piešķirot atbalstu saskaņā ar Komisijas regulu Nr.651/2014, finansējuma saņēmējam, vērtējot gala labuma guvēja atbilstību kritērijiem, ir jāņem vērā gala labuma guvēja finansiālais stāvoklis saistīto uzņēmumu grupas līmenī, līdz ar ko lūdzam attiecīgi precizēt noteikumu projekta 58.punktā.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Komercdarbības atbalsta piešķiršanas kārtība gala labuma guvējam viena vienota uzņēmuma līmenī ir šāda: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MKN ir sniegta pretrunīga informācija par gala labuma guvējiem sniegto komercdarbības atbalsta veidu, proti, 62.punktā ir norādīts, ka gala saņēmējiem tiek piešķirts komercdarbības atbalsts saskaņā ar Komisijas regulas Nr.651/2014 31.pantu, savukārt 59.punktā ir norādīts, ka gala saņēmēji var pieteikties </w:t>
            </w:r>
            <w:r w:rsidR="00000000" w:rsidRPr="00000000" w:rsidDel="00000000">
              <w:rPr>
                <w:i w:val="1"/>
                <w:rtl w:val="0"/>
              </w:rPr>
              <w:t xml:space="preserve">de minimis</w:t>
            </w:r>
            <w:r w:rsidR="00000000" w:rsidRPr="00000000" w:rsidDel="00000000">
              <w:rPr>
                <w:rtl w:val="0"/>
              </w:rPr>
              <w:t xml:space="preserve"> atbalstam, kā arī MKN punktu numerācija ir kļūdaina (nav iespējams identificēt, kādām atbalstāmām darbībām tiek paredzēts konkrēts komercdarbības atbalsta veids), nav iespējams sniegt detalizētus iebildumus saistībā ar komercdarbības atbalsta sniegšanu. MKN nepieciešams korekti norādīt - kāds komercdarbības atbalsta veids konkrēti kādām atbalstāmajām darbībām gala labuma guvējiem ir paredzēts piešķirt.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Cintija Ripa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Komercdarbības atbalsta piešķiršanas kārtība gala labuma guvējam viena vienota uzņēmuma līmenī ir šāda: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Joprojām uzturam Finanšu ministrijas iebildumu, kas ir ietverts izziņas 119.punktā. Vēršam uzmanību, ka veiktais papildinājums ir attiecināms tikai uz komercdarbības atbalstu, savukārt EK lūdz ietvert uz gala labuma guvējiem attiecināmos atlases kritērijus, kas nav saistīti ar komercdarbības atbalstu un nodokļu parādu esamību.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58.1. finansējuma saņēmējs izvērtē gala labuma guvēja atbilstību Komisijas regulai 1407/2013 vai Komisijas regulai Nr. 651/2014. Datums, kad finansējuma saņēmējs pieņem lēmumu par atbalsta piešķiršanu, uzskatāms par atbalsta piešķiršanas datumu.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šīs normas pēdējo teikumu, ņemot vērā, ka tā dublē 58.3. apakšpunktā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58.1. finansējuma saņēmējs izvērtē gala labuma guvēja atbilstību Komisijas regulai 1407/2013 vai Komisijas regulai Nr. 651/2014. Datums, kad finansējuma saņēmējs pieņem lēmumu par atbalsta piešķiršanu, uzskatāms par atbalsta piešķiršanas datumu.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Nepārprotamai skaidrībai lūdzam anotācijā norādīt, kuros gadījumos gala labuma guvēji saņem atbalstu ar Komisijas regulu 1407/2013 vai Komisijas regulu Nr. 651/2014.</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Atbalsta piešķiršanas nosacījumi attiecībā uz nozarēm un darbībām: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attiecīgā pasākuma ietvaros de minimis atbalstu sniedz tikai ar Komisijas regulu Nr.1407/2013, lūdzam dzēst 59.2. un 59.3 apakšpunktus. Vienlaikus, gadījumā, ja noteikumu projekta ietvaros tomēr atbalstu plānots sniegt arī saskaņā ar Komisijas regulas Nr.717/2014 vai Komisijas regulas Nr.1408/2013, tad noteikumu projekts ir jāpapildina arī ar attiecīgo regulu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Atbalsta piešķiršanas nosacījumi attiecībā uz nozarēm un darbībām: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šo noteikumu projekta punktu. Šobrīd nav skaidrs, vai minētie nozaru ierobežojumi tiks attiecināti abos gadījumos, t.i., ja atbalstu piešķirs ar Komisijas regulu Nr.1407/2013 vai Komisijas regulu Nr.651/2014.</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 Ja finansējuma saņēmējs vai sadarbības partneris darbojas kādā no neatbalstāmajām nozarēm saskaņā ar Komisijas regulas Nr. 1407/2013  1. panta 1. punktu vai Komisijas regulas Nr. 651/2014 1. panta 3. punktu, atbalstu drīkst piešķirt tikai tad, ja tiek skaidri nodalītas atbalstāmās darbības vai finanšu plūsmas no citu darbības nozaru finanšu plūsmas, nodrošinot, ka darbības izslēgtajās nozarēs negūst labumu no atbalsta saskaņā ar Komisijas regulas Nr. 1407/2013 1. panta 2. punktu un Komisijas regulas Nr. 651/2014 1. panta 3. punkta pēdējo rindkopu.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normas izriet, ka pasākumā ir plānota arī sadarbības partneru iesaiste. Vēršam uzmanību, ka tādā gadījumā komercdarbības atbalsta nosacījumi ir jāparedz arī uz sadarbības partneriem. Lūdzam atbilstoši precizēt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 Ja finansējuma saņēmējs vai sadarbības partneris darbojas kādā no neatbalstāmajām nozarēm saskaņā ar Komisijas regulas Nr. 1407/2013  1. panta 1. punktu vai Komisijas regulas Nr. 651/2014 1. panta 3. punktu, atbalstu drīkst piešķirt tikai tad, ja tiek skaidri nodalītas atbalstāmās darbības vai finanšu plūsmas no citu darbības nozaru finanšu plūsmas, nodrošinot, ka darbības izslēgtajās nozarēs negūst labumu no atbalsta saskaņā ar Komisijas regulas Nr. 1407/2013 1. panta 2. punktu un Komisijas regulas Nr. 651/2014 1. panta 3. punkta pēdējo rindkopu.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investīcijas 2.3.1.2. ietvaros nav paredzēts atbalsts sadarbības partneriem, kā arī nav definēts "sadarabības partnera" jēdziens, lūdzam no MKN 60.punkta dzēst "sadarbības partneris".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Cintija Ripa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Finansējumu šo noteikumu 39.1.1. un 39.2.1. apakšpunktā minēto izmaksu segšanai sniedz saskaņā ar Komisijas regulas Nr. 651/2014 31. pantu, un tas ir uzskatāms par komercdarbības atbalstu gala labuma guvējiem.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precizēt atsauces uz MKN punktiem. Vēršam uzmanību, ka šajā normā pieminētie punkti noteikumos nav.</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Finansējumu šo noteikumu 39.1.1. un 39.2.1. apakšpunktā minēto izmaksu segšanai sniedz saskaņā ar Komisijas regulas Nr. 651/2014 31. pantu, un tas ir uzskatāms par komercdarbības atbalstu gala labuma guvējiem.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atsauci uz MKN punktiem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Kalenda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Finansējumu šo noteikumu 39.1.1. un 39.2.1. apakšpunktā minēto izmaksu segšanai sniedz saskaņā ar Komisijas regulas Nr. 651/2014 31. pantu, un tas ir uzskatāms par komercdarbības atbalstu gala labuma guvējiem.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atbalsta regulējumu visām 40.p. minētajām 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Austriņa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Finansējumu šo noteikumu 39.3. apakšpunktā minēto izmaksu segšanai sniedz saskaņā ar Komisijas regulu Nr. 1407/2013 un normatīvajiem aktiem par </w:t>
            </w:r>
            <w:r w:rsidR="00000000" w:rsidRPr="00000000" w:rsidDel="00000000">
              <w:rPr>
                <w:i w:val="1"/>
                <w:rtl w:val="0"/>
              </w:rPr>
              <w:t xml:space="preserve">de minimis</w:t>
            </w:r>
            <w:r w:rsidR="00000000" w:rsidRPr="00000000" w:rsidDel="00000000">
              <w:rPr>
                <w:rtl w:val="0"/>
              </w:rPr>
              <w:t xml:space="preserve"> atbalsta uzskaites un piešķiršanas kārtību un </w:t>
            </w:r>
            <w:r w:rsidR="00000000" w:rsidRPr="00000000" w:rsidDel="00000000">
              <w:rPr>
                <w:i w:val="1"/>
                <w:rtl w:val="0"/>
              </w:rPr>
              <w:t xml:space="preserve">de minimis</w:t>
            </w:r>
            <w:r w:rsidR="00000000" w:rsidRPr="00000000" w:rsidDel="00000000">
              <w:rPr>
                <w:rtl w:val="0"/>
              </w:rPr>
              <w:t xml:space="preserve"> atbalsta uzskaites veidlapu paraugiem, un tas ir uzskatāms par komercdarbības atbalstu finansējuma saņēmējam. CFLA vērtē finansējuma saņēmēja atbilstību </w:t>
            </w:r>
            <w:r w:rsidR="00000000" w:rsidRPr="00000000" w:rsidDel="00000000">
              <w:rPr>
                <w:i w:val="1"/>
                <w:rtl w:val="0"/>
              </w:rPr>
              <w:t xml:space="preserve">de minimis</w:t>
            </w:r>
            <w:r w:rsidR="00000000" w:rsidRPr="00000000" w:rsidDel="00000000">
              <w:rPr>
                <w:rtl w:val="0"/>
              </w:rPr>
              <w:t xml:space="preserve"> atbalsta nosacījumiem uz komercdarbības atbasta piešķiršanas brīdi un par komercdarbības atbalsta piešķiršanas dienu finansējuma saņēmējam uzskatāma diena, kad CFLA pieņem lēmumu par komercdarbības atbalsta piešķiršanu.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arī gala labuma guvēju atbilstība komercdarbības atbalsta kontroles nosacījumiem ir jāvērtē uz komercdarbības atbalsta piešķiršanas brīdi, lūdzam skaidri noteikumu projektā noteikt, kurā brīdī tiek vērtēta gala labuma guvēju atbilstība Komisijas regulas Nr.1407/2013 vai Komisijas regulas Nr.651/2014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Finansējumu šo noteikumu 39.3. apakšpunktā minēto izmaksu segšanai sniedz saskaņā ar Komisijas regulu Nr. 1407/2013 un normatīvajiem aktiem par </w:t>
            </w:r>
            <w:r w:rsidR="00000000" w:rsidRPr="00000000" w:rsidDel="00000000">
              <w:rPr>
                <w:i w:val="1"/>
                <w:rtl w:val="0"/>
              </w:rPr>
              <w:t xml:space="preserve">de minimis</w:t>
            </w:r>
            <w:r w:rsidR="00000000" w:rsidRPr="00000000" w:rsidDel="00000000">
              <w:rPr>
                <w:rtl w:val="0"/>
              </w:rPr>
              <w:t xml:space="preserve"> atbalsta uzskaites un piešķiršanas kārtību un </w:t>
            </w:r>
            <w:r w:rsidR="00000000" w:rsidRPr="00000000" w:rsidDel="00000000">
              <w:rPr>
                <w:i w:val="1"/>
                <w:rtl w:val="0"/>
              </w:rPr>
              <w:t xml:space="preserve">de minimis</w:t>
            </w:r>
            <w:r w:rsidR="00000000" w:rsidRPr="00000000" w:rsidDel="00000000">
              <w:rPr>
                <w:rtl w:val="0"/>
              </w:rPr>
              <w:t xml:space="preserve"> atbalsta uzskaites veidlapu paraugiem, un tas ir uzskatāms par komercdarbības atbalstu finansējuma saņēmējam. CFLA vērtē finansējuma saņēmēja atbilstību </w:t>
            </w:r>
            <w:r w:rsidR="00000000" w:rsidRPr="00000000" w:rsidDel="00000000">
              <w:rPr>
                <w:i w:val="1"/>
                <w:rtl w:val="0"/>
              </w:rPr>
              <w:t xml:space="preserve">de minimis</w:t>
            </w:r>
            <w:r w:rsidR="00000000" w:rsidRPr="00000000" w:rsidDel="00000000">
              <w:rPr>
                <w:rtl w:val="0"/>
              </w:rPr>
              <w:t xml:space="preserve"> atbalsta nosacījumiem uz komercdarbības atbasta piešķiršanas brīdi un par komercdarbības atbalsta piešķiršanas dienu finansējuma saņēmējam uzskatāma diena, kad CFLA pieņem lēmumu par komercdarbības atbalsta piešķiršanu.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atsauci uz MKN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Kalenda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Finansējumu šo noteikumu 39.3. apakšpunktā minēto izmaksu segšanai sniedz saskaņā ar Komisijas regulu Nr. 1407/2013 un normatīvajiem aktiem par </w:t>
            </w:r>
            <w:r w:rsidR="00000000" w:rsidRPr="00000000" w:rsidDel="00000000">
              <w:rPr>
                <w:i w:val="1"/>
                <w:rtl w:val="0"/>
              </w:rPr>
              <w:t xml:space="preserve">de minimis</w:t>
            </w:r>
            <w:r w:rsidR="00000000" w:rsidRPr="00000000" w:rsidDel="00000000">
              <w:rPr>
                <w:rtl w:val="0"/>
              </w:rPr>
              <w:t xml:space="preserve"> atbalsta uzskaites un piešķiršanas kārtību un </w:t>
            </w:r>
            <w:r w:rsidR="00000000" w:rsidRPr="00000000" w:rsidDel="00000000">
              <w:rPr>
                <w:i w:val="1"/>
                <w:rtl w:val="0"/>
              </w:rPr>
              <w:t xml:space="preserve">de minimis</w:t>
            </w:r>
            <w:r w:rsidR="00000000" w:rsidRPr="00000000" w:rsidDel="00000000">
              <w:rPr>
                <w:rtl w:val="0"/>
              </w:rPr>
              <w:t xml:space="preserve"> atbalsta uzskaites veidlapu paraugiem, un tas ir uzskatāms par komercdarbības atbalstu finansējuma saņēmējam. CFLA vērtē finansējuma saņēmēja atbilstību </w:t>
            </w:r>
            <w:r w:rsidR="00000000" w:rsidRPr="00000000" w:rsidDel="00000000">
              <w:rPr>
                <w:i w:val="1"/>
                <w:rtl w:val="0"/>
              </w:rPr>
              <w:t xml:space="preserve">de minimis</w:t>
            </w:r>
            <w:r w:rsidR="00000000" w:rsidRPr="00000000" w:rsidDel="00000000">
              <w:rPr>
                <w:rtl w:val="0"/>
              </w:rPr>
              <w:t xml:space="preserve"> atbalsta nosacījumiem uz komercdarbības atbasta piešķiršanas brīdi un par komercdarbības atbalsta piešķiršanas dienu finansējuma saņēmējam uzskatāma diena, kad CFLA pieņem lēmumu par komercdarbības atbalsta piešķiršanu.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atsauci uz MKN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Kalenda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Atbalsts šo noteikumu 39.3.2. apakšpunktā minēto izmaksu segšanai nav uzskatāms par komercdarbības atbalstu, ja finansējuma saņēmējs nodrošina projekta vadību, piemērojot šo noteikumu 43. punktā minēto procedūru. Ja finansējuma saņēmējs nodrošina projekta vadību atbilstoši šo noteikumu 39.1. apakšpunktam, tad šo noteikumu 39.3.1. apakšpunktā minēto izmaksu segšana ir uzskatāma par komercdarbības atbalstu finansējuma saņēmējam, ko sniedz atbilstoši šo noteikumu 55. punktam.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precizēt atsauci uz noteikumu punktu, vēršam uzmanību, ka, piem., 39.3.2. apakšpunkta noteikumu projektā nav.</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Vienam </w:t>
            </w:r>
            <w:r w:rsidR="00000000" w:rsidRPr="00000000" w:rsidDel="00000000">
              <w:rPr>
                <w:i w:val="1"/>
                <w:rtl w:val="0"/>
              </w:rPr>
              <w:t xml:space="preserve">de minimis</w:t>
            </w:r>
            <w:r w:rsidR="00000000" w:rsidRPr="00000000" w:rsidDel="00000000">
              <w:rPr>
                <w:rtl w:val="0"/>
              </w:rPr>
              <w:t xml:space="preserve"> atbalsta saņēmējam </w:t>
            </w:r>
            <w:r w:rsidR="00000000" w:rsidRPr="00000000" w:rsidDel="00000000">
              <w:rPr>
                <w:i w:val="1"/>
                <w:rtl w:val="0"/>
              </w:rPr>
              <w:t xml:space="preserve">de minimis</w:t>
            </w:r>
            <w:r w:rsidR="00000000" w:rsidRPr="00000000" w:rsidDel="00000000">
              <w:rPr>
                <w:rtl w:val="0"/>
              </w:rPr>
              <w:t xml:space="preserve"> atbalsta apmērs kopā ar attiecīgajā fiskālajā gadā un iepriekšējos divos fiskālajos gados piešķirto </w:t>
            </w:r>
            <w:r w:rsidR="00000000" w:rsidRPr="00000000" w:rsidDel="00000000">
              <w:rPr>
                <w:i w:val="1"/>
                <w:rtl w:val="0"/>
              </w:rPr>
              <w:t xml:space="preserve">de minimis </w:t>
            </w:r>
            <w:r w:rsidR="00000000" w:rsidRPr="00000000" w:rsidDel="00000000">
              <w:rPr>
                <w:rtl w:val="0"/>
              </w:rPr>
              <w:t xml:space="preserve">atbalstu nepārsniedz Komisijas regulas Nr. 1407/2013 3. panta 2. punktā noteikto maksimālo </w:t>
            </w:r>
            <w:r w:rsidR="00000000" w:rsidRPr="00000000" w:rsidDel="00000000">
              <w:rPr>
                <w:i w:val="1"/>
                <w:rtl w:val="0"/>
              </w:rPr>
              <w:t xml:space="preserve">de minimis</w:t>
            </w:r>
            <w:r w:rsidR="00000000" w:rsidRPr="00000000" w:rsidDel="00000000">
              <w:rPr>
                <w:rtl w:val="0"/>
              </w:rPr>
              <w:t xml:space="preserve"> atbalsta apmēru.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normas skaidrībai to precizēt, ka de minimis atbalsta pretendentam sniegtā de minimis atbalsta kopējā summa viena vienota uzņēmuma līmenī nedrīkst pārsniegt Regulas Nr.1407/2013 3.panta 2.punktā noteiktos ierobežojumus un viens vienots uzņēmums atbilst Noteikumu 2.12. apakšpunktā noteiktajai viena vienota uzņēmuma definīcijai.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 Finansējuma saņēmējs pirms </w:t>
            </w:r>
            <w:r w:rsidR="00000000" w:rsidRPr="00000000" w:rsidDel="00000000">
              <w:rPr>
                <w:i w:val="1"/>
                <w:rtl w:val="0"/>
              </w:rPr>
              <w:t xml:space="preserve">de minimis</w:t>
            </w:r>
            <w:r w:rsidR="00000000" w:rsidRPr="00000000" w:rsidDel="00000000">
              <w:rPr>
                <w:rtl w:val="0"/>
              </w:rPr>
              <w:t xml:space="preserve"> atbalsta un Komisijas regulā Nr. 651/2014 paredzētā atbalsta piešķiršanas pārbauda vai gala labuma guvējam uz komercdarbības atbalsta piešķiršanas brīdi saskaņā ar Valsts ieņēmumu dienesta administrēto nodokļu (nodevu) parādnieku datubāzē pieejamo informāciju nav nodokļu vai nodevu parādu, tai skaitā valsts sociālās apdrošināšanas obligāto iemaksu parādu, kas kopsummā pārsniedz 150 </w:t>
            </w:r>
            <w:r w:rsidR="00000000" w:rsidRPr="00000000" w:rsidDel="00000000">
              <w:rPr>
                <w:i w:val="1"/>
                <w:rtl w:val="0"/>
              </w:rPr>
              <w:t xml:space="preserve">euro</w:t>
            </w:r>
            <w:r w:rsidR="00000000" w:rsidRPr="00000000" w:rsidDel="00000000">
              <w:rPr>
                <w:rtl w:val="0"/>
              </w:rPr>
              <w:t xml:space="preserve">, izņemot nodokļu maksājumus, par kuriem ir piešķirts samaksas termiņa pagarinājums, noslēgta vienošanās par labprātīgu nodokļu samaksu vai noslēgts vienošanās līgums.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teikuma daļu "noslēgta vienošanās par labprātīgu nodokļu samaksu vai noslēgts vienošanās līgums". Vēršam uzmanību, ka nokavētie nodokļu maksājumi, par kuru labprātīgu samaksu noslēgta vienošanās, ir uzskatāmi par nodokļu parādu, un atbalsts šādām personām nav piešķirams.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Austriņa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66.4. finansējuma saņēmējam viena vienota uzņēmumu līmenī visu kārtu ietvaros vadības izmaksu segšanai 100 % apmērā, nepārsniedzot šo noteikumu 39.3. apakšpunktā un 60. punktā minēto ierobežojumu;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pārliecināties par noteikumu projekta 66.4. apakšpunktā ietverto atsauci uz 60.punktu, ņemot vērā, ka noteikumu projekta 60.punktā nav noteikts nekāds ierobežojums, bet gan ir noteikts nosacījums par izmaksu nošķiršanu.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66.5. finansējuma saņēmējam visu kārtu ietvaros šo noteikumu 39.1.2. un 39.2.2. apakšpunktā minēto izmaksu segšanai 100 % apmērā, nepārsniedzot šo noteikumu 60. punktā minēto ierobežojumu.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atsauci uz MKN punktus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Kalenda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 Atbalstu, gala labuma guvējam nepiešķir, vērtējot gala labuma guvēju uz atbalsta piešķiršanas brīdi: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noteikumu projekta 67.punkta ievaddaļu, lai ir skaidrs, ka atbalstu gala labuma guvējam nepiešķir, ja izpildās noteikumu projekta 67.apakšpunktā minētie gadījumi, tā skaitā gadījumā, ja tas atbilst Komisijas regulas Nr. 651/2014 2. panta 18. punktā noteiktajai definīcijai.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 Gadījumos, kad finansējuma saņēmējs ir </w:t>
            </w:r>
            <w:r w:rsidR="00000000" w:rsidRPr="00000000" w:rsidDel="00000000">
              <w:rPr>
                <w:i w:val="1"/>
                <w:rtl w:val="0"/>
              </w:rPr>
              <w:t xml:space="preserve">de minimis</w:t>
            </w:r>
            <w:r w:rsidR="00000000" w:rsidRPr="00000000" w:rsidDel="00000000">
              <w:rPr>
                <w:rtl w:val="0"/>
              </w:rPr>
              <w:t xml:space="preserve"> atbalsta saņēmējs un tiek pārkāptas Komisijas regulas Nr.  1407/2013 prasības, finansējuma saņēmējam ir pienākums atmaksāt CFLA visu projekta ietvaros saņemto komercdarbības atbalstu kopā ar procentiem no līdzekļiem, kas ir brīvi no komercdarbības atbalsta, atbilstoši Komercdarbības atbalsta kontroles likuma IV. vai V. nodaļas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Finanšu ministrijas izteikto iebildumu, kas iekļauts izziņas 137. punktā un atkārtoti lūdzam precizēt noteikumu projekta 69.apakšpunktu, aizvietojot vārdu "komercdarbības" ar "de minimis", atbilstoši piedāvātajai redakcijai.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kad finansējuma saņēmējs ir de minimis atbalsta saņēmējs un tiek pārkāptas Komisijas regulas Nr. 1407/2013 prasības, finansējuma saņēmējam ir pienākums atmaksāt CFLA visu projekta ietvaros saņemto </w:t>
            </w:r>
            <w:r w:rsidR="00000000" w:rsidRPr="00000000" w:rsidDel="00000000">
              <w:rPr>
                <w:b w:val="1"/>
                <w:rtl w:val="0"/>
              </w:rPr>
              <w:t xml:space="preserve">de minimis atbalstu </w:t>
            </w:r>
            <w:r w:rsidR="00000000" w:rsidRPr="00000000" w:rsidDel="00000000">
              <w:rPr>
                <w:rtl w:val="0"/>
              </w:rPr>
              <w:t xml:space="preserve">kopā ar procentiem no līdzekļiem, kas ir brīvi no komercdarbības atbalsta, atbilstoši Komercdarbības atbalsta kontroles likuma IV vai V nodaļas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Finansējuma intensitāti, kas minēta šo noteikumu 57. punktā, var palielināt par 10 procentpunktiem, ja mācības tiek nodrošinātas nodarbinātajiem ar invaliditāti vai nelabvēlīgākā situācijā esošiem nodarbinātajiem, kuri atbilst Komisijas regulas Nr. 651/2014 2. panta 3. un 4. punktā minētajām definīcijām. Saskaņā ar Komisijas regulas Nr. 651/2014 31. panta 4. punktu atbalsta intensitāti var paaugstināt ne vairāk kā līdz 70 %.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atsauci uz MKN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Kalenda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Gala labuma guvējs atbalstu, kura attiecināmās izmaksas ir nosakāmas un kuram ar Komisijas regulu Nr. 651/2014 piešķirts atbrīvojums, var kumulēt ar citu komercdarbības atbalstu, ja vien šie pasākumi attiecas uz dažādām nosakāmām attiecināmajām izmaksām, kā arī drīkst kumulēt ar citu komercdarbības atbalstu attiecībā uz tām pašām attiecināmajām izmaksām, kas daļēji vai pilnībā pārklājas, gadījumā, ja šādas kumulēšanas rezultātā netiek pārsniegta šo noteikumu 57. punktā minētā atbalsta intensitāte. Ja par vienām un tām pašām projekta attiecināmajām izmaksām tiek sniegts atbalsts vairāku komercdarbības atbalsta programmu ietvaros, gala labuma guvējs finansējuma saņēmējam iesniedz informāciju par plānoto un piešķirto atbalstu par tām pašām attiecināmajām izmaksām, norādot atbalsta piešķiršanas datumu (tai skaitā plānoto atbalsta piešķiršanas datumu), atbalsta intensitāti, atbalsta sniedzēju, atbalsta pasākumu vai investīciju un plānoto vai piešķirto atbalsta summu.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atsauci uz MKN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Kalenda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 Gala labuma guvējs par EDIC pieņemto lēmumu par neatbilstību komercdarbības atbalsta nosacījumiem var apstrīdēt Ekonomikas ministrijā. Ekonomikas ministrijas pieņemto lēmumu gala labuma guvējs var apstrīdēt Administratīvajā tiesā.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paredzēts, kā var pārsūdzēt 2.kārtas finansējuma saņēmēja pieņemto lēmumu par komercdarbības atbalstu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Kalenda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Lēmumus par komercdarbības atbalsta piešķiršanu saskaņā ar Komisijas regulu Nr. 651/2014 var pieņemt līdz 2023. gada 31. decembrim, sešu mēnešu pārejas periodu - līdz 2024.gada 30.jūnijam.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pārejas perioda nosacījums izriet no Komisijas regulas Nr.651/2014 58.panta 4.punkta, lūdzam redakcionāli precizēt noteiktumu projekta 82.punktu, lai ir skaidrs, no kurienes izriet pārejas perioda nosacījums.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Vērtēšanas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1.1. kritērija redakciju, norādot "neatbilst" izslēgšanas kritērijiem, t.i., projekta iesniegums saņem pozitīvu vērtējumu kritērijā, ja tas neatbilst nevis atbilst izslēgšanas kritērijiem, un dzēšot 2. atsauci - kritēriju komplektā nav kritērija Nr. 2.1.7.</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Austriņa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Vērtēšanas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kritērija Nr.1.3. ietekmei uz lēmuma pieņemšanu pievienoto atsauci vai vismaz precizēt, ka atsauce piemērojama tikai 1. kārtai, kur ir paredzēta iespēja projekta iesniegumu iesniegt kā elektronisku dokumentu. MKN 20. punkts paredz projekta iesnieguma iesniegšanu tikai KPVIS, un projekta iesnieguma vērtēšana elektroniska dokumenta formā, vēlāk projekta iesniegumu ievadot KPVIS, vairs nav paredzēta.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Austriņa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Vērtēšanas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mainīt kritērija Nr.2.1.1. ietekmi uz lēmuma pieņemšanu uz "N" jeb neprecizējamu. Iespēja iesniegt tikai vienu projekta iesniegumu ir noteikta MKN. Ja kritērija ietekme tiek saglabāta kā precizējama, var rasties situācija, kad ir pilnā apmērā jāizvērtē viena iesniedzēja vairāki projektu iesniegumi, lai gan skaidri zināms, ka potenciāls tikt apstiprinātam ir tikai vienam, radot lieku administratīvo slogu un ietekmējot projektu ranžējumu - kāds no "pareizi" iesniegtiem, vienīgajiem projektu iesniegumiem var sākotnēji nesaņemt finansējumu tā īstenošanai un tā īstenošana var tikt novilcināta par “nepareizo” projekta iesniegumu precizējumu veikšanas un vērtēšanas laiku, kas nav pieļaujams, it īpaši ņemot vērā īso valsts atbalsta piešķiršanas gala termiņu.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Austriņa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Vērtēšanas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vai precizēt kritēriju Nr. 2.2.1. un, ja attiecināms, MK noteikumus, jo pašlaik noteikumi nesatur nekādu informāciju par RIS3 un viedās specializācijas jomām. Vēršam uzmanību, ka visu uz atlasi attiecināmo regulējumu nepieciešams ietvert MK noteikumos.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Austriņa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Vērtēšanas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Kritērijā Nr. 2.2.5.: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1.1. punktā norādīts, ka projekta iesniedzējs ir sabiedrība ar ierobežotu atbildību vai biedrība, lai gan MKN paredz tikai biedrību, lūdzam precizēt. Kā arī norādīts "kas apvieno komersantus" - lūdzam nepārprotami norādīt, kā izpaužas "apvienošana", t.i., komersanti ir iesniedzēja biedri vai biedru biedri?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1.2. punktā norādīts "Ja finansējuma saņēmējs ir biedrība (..)", lai gan MKN paredz tikai tādu variantu, lūdzam precizēt;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1.3. punkts atrunā, ka jāsaņem vēstule no biedrības, kas atbilst prasībām, kādām ir jāatbilst pašam projekta iesniedzējam. Tātad projekta iesniedzējam jāsaņem atbalsta vēstule no cita projekta iesniedzēja, faktiski - konkurenta par finansējumu? Lūdzam dzēst vai precizēt. Papildus lūdzam precizēt frāzi "Uzņēmumu reģistra vai Biedrību reģistrā", norādot "Uzņēmumu reģistra Biedrību un nodibinājumu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lūdzam izvērtēt, vai 1.4. punkts vismaz daļēji nepārklājas ar izslēgšanas kritēriju Nr. 1.1. un atbilstoši precizēt, kā arī iekļaut informāciju, kā vērtēšanas komisijai pārliecināties, ka iesniedzējs "neatbilst valsts tiesību aktos noteiktiem kritērijiem, lai tiem pēc kreditoru pieprasījuma varētu piemērot maksātnespējas procedūru";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lūdzam papildināt 1.5. punktu ar pieredzes prasību skaidrojumu (skat. komentāru pie MKN 18.5. apakšpunkta).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Austriņa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Vērtēšanas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Kritērijā Nr. 3.1.: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norādīts "Ir izstrādāts darbības plāns un tajā raksturota", taču MKN neparedz darbības plāna izstrādi un iesniegšanu. Aicinām dzēst šo teikumu, atsakoties no darbības plāna nepieciešamības, un, sagatavojot kritērija piemērošanas skaidrojumu, norādīt citu informācijas avotu kritēriju Nr. 3.1.1 un 3.1.2. vērtēšana;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kritērijam Nr.3.1.1. nepieciešams pievienot numerāciju;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kritērijā Nr. 3.1.1. tiek vērtēts, kuram ir augstākie biedru rādītāji (biedru kopējais darbinieku skaits, vai biedru kopējais apgrozījums, biedru skaits, ja rādītāji ir vienādi) - lūdzam skaidri atrunāt, kurš ir primārais vērtējamais biedru rādītājs, kurš tiek vērtēts, ja primārais rādītājs ir vienāds utt., jo rādītāji ir dažādi un var būt situācijas, kad viens rādītājs iesniedzējam ir lielāks nekā konkurentam, bet citi mazāki. Papildus lūdzam: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pievienot skaidrojumu, uz kuru brīdi un kā tiek skatīts biedru darbinieku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skaidrot, vai šajā kritērijā var tikt ņemti vērā arī biedru biedru rādītāji, līdzīgi kā attiecībā uz apgrozījumu,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skaidrot, kā vērtēšanas komisijai pārliecināties par datu atbilstību (skat. komentāru pie MKN 23.13. apakšpunkta);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kritērijā Nr. 3.1.3. jāvērtē ieguldījums RIS3 jomā, taču MKN nav pieminēta RIS3 joma, tās rādītāji, mērķi. Lūdzam dzēst vai precizēt. Ja kritērijs tiek precizēts, lūdzam izvērtēt, vai ir nepieciešams arī kritērijs Nr. 2.2.1., kur tiek izvērtēta tikai norādītā RIS3 joma;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lūdzam izvērtēt, vai kritēriji Nr. 3.1.3., Nr. 3.1.4. un Nr. 3.1.5. ir kvalitātes kritēriju nevis specifisko atbilstības kritēriju jautājumi. T.i., punktu gradācija maksimālajiem 10 un 5 punktiem tiek pamatota ar “nepilnīgi” un “nesniedz pārliecību”, kas ir subjektīvi vērtējumi, kuri ietekmēs atklātas atlases rezultātu – finansējuma piešķiršanu. Ja tie tomēr tiek saglabāti kā kvalitātes kritēriji, lūdzam noteikt objektīvi pārbaudāmus jautājumus punktu gradācijai.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Austriņa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Vērtēšanas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Kritērijā Nr. 3.2. lūdzam atstāt vienu vērtējamo rādītāju vai skaidri definēt, pēc kādiem principiem izvēlas vērtēt vienu no diviem minētajiem kritērijiem, lai nodrošinātu vienlīdzīgu projektu iesniegumu vērtēšanu atklātas atlases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Austriņa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Vērtēšanas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kritēriju noslēgumā par to, kā tiek rindoti projekti vienāda punktu skaita gadījumā neatbilst MKN 18.6. apakšpunktam, lūdzam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Austriņa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Vērtēšanas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specifiskā atbilstības kritērija Nr.2.2.5. apakškritērijs Nr.1.4. jau nav ietverts izslēgšanas kritērijā Nr.1.1., proti, jau ir noteikts Finanšu regulas 136.pantā.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ir mainījusies noteikumu projekta numerācija, aicinām pārskatīt un atbilstoši precizēt noteikumu projekta punktu atbilstības izvērtējumu 1.tabulā.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Joprojām uzturam Finanšu ministrijas iebildumu, kas ir ietverts izziņas 172.punktā, un lūdzam anotācijā sniegt skaidrojumu, vai informācija par mācību pieejamību tiks publicētas tīmekļa portālā "Mācības pieaugušajiem" https://www.macibaspieaugusajiem.lv.</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Joprojām uzturam Finanšu ministrijas iebildumu, kas ir ietverts izziņas 99.punktā. Lūdzam papildināt anotāciju ar izmaksu sliekšņa aprēķina pamatojumu.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Joprojām uzturam Finanšu ministrijas iebildumu, kas ir ietverts izziņās 173.punktā un joprojām lūdzam precizēt gan noteikumu projektu, gan anotāciju, nosakot EDIC sadarbību ar nozaru asociācijām, izglītības iestādēm un reģionālajiem uzņēmējdarbības centriem. Papildus vēršam uzmanību, ka EM skaidrojumā pie izziņās 173.punkts ir teikts, ka ir veikti precizējumi noteikumu projekta 15.punktā, bet, mūsuprāt, noteikumu projektā šie precizējumi nav ietverti.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 finansējuma saņēmējs - investīcijas pirmās vai otrās kārtas projekta iesniedzējs, kas saņēmis atzinumu projekta īstenošanai un noslēdzis  šo noteikumu 13.punktā līgumu;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2.11. apakšpunktu ar vārdu "minēto" aiz vārda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 finansējuma saņēmējs - investīcijas pirmās vai otrās kārtas projekta iesniedzējs, kas saņēmis atzinumu projekta īstenošanai un noslēdzis  šo noteikumu 13.punktā līgumu;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"saņēmis atzinumu projekta īstenošanai un". APIA ietvaros projekta iesniedzējs saņem lēmumu par projekta iesnieguma apstiprināšanu vai atzinumu par nosacījumu izpildi.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Austriņa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 tas uz projekta iesnieguma iesniegšanas brīdi ir reģistrēts Latvijas Republikas Uzņēmumu reģistra biedrību reģistrā;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norādot "Uzņēmumu reģistra Biedrību un nodibinājumu reģistrā".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Austriņa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Pirmās atlases kārtas ietvaros projekta iesniedzējs sagatavo projekta iesniegumu saskaņā ar šajos noteikumos minētajām prasībām un iesniedz projektu Kohēzijas politikas fondu vadības informācijas sistēmā (turpmāk – Vadības informācijas sistēma) ministrijas noteiktā termiņā. Ja uz projekta iesniegšanas brīdi vēl nav nodrošināta vadības informācijas sistēmas funkcionalitāte, projekta iesniedzējs iesniedz projektu ministrijai elektroniskā dokumenta veidā ar drošu elektronisko parakstu.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noteikumu projekta 17. punktā otro teikumu ņemot vērā, ka KPVIS funkcionalitāte ir nodrošināta.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 tā ir reģistrēta Latvijas Republikas Uzņēmumu reģistra biedru reģistrā vismaz piecus gadus pirms projekta iesnieguma iesniegšanas CFLA;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norādot "Uzņēmumu reģistra Biedrību un nodibinājumu reģistrā".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Austriņa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18.5. tai ir iepriekšēja pieredze prasmju pilnveides projektu īstenošanā vismaz trīs gadus ar dažādiem atbalsta projektiem, kas saistīti ar prasmju pilnveidi konkrētās nozares apmācībās un pēc apmācību kursu beigšanas izsniedz izglītību apliecinošu dokumentu;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18.5.apakšpunktu, lai tajā ietvertā norma ir saprotama, proti, nav skaidrs, vai nosacījums par izglītību apliecinošiem dokumentiem ir attiecināma uz biedrību iepriekšējo darbību, vai tomēr tas ir pienākums investīcijas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18.6. ja vairākiem nozaru projektu iesniegumiem otrās kārtas ietvaros ir vienāds punktu skaits, priekšroka ir projektam, kas investīcijas otrās atlases kārtas kvalitātes kritērijā "Projektā plānotais apmācāmo komersantu skaits" un kvalitātes kritērijā "Iepriekšējā pieredze" ir ieguvis augstāku punktu skaitu atbilstoši šo noteikumu </w:t>
            </w:r>
            <w:r w:rsidR="00000000" w:rsidRPr="00000000" w:rsidDel="00000000">
              <w:rPr>
                <w:rtl w:val="0"/>
              </w:rPr>
              <w:t xml:space="preserve">1. </w:t>
            </w:r>
            <w:r w:rsidR="00000000" w:rsidRPr="00000000" w:rsidDel="00000000">
              <w:rPr>
                <w:rtl w:val="0"/>
              </w:rPr>
              <w:t xml:space="preserve">pielikumu</w:t>
            </w:r>
            <w:r w:rsidR="00000000" w:rsidRPr="00000000" w:rsidDel="00000000">
              <w:rPr>
                <w:rtl w:val="0"/>
              </w:rPr>
              <w:t xml:space="preserve">  noteiktajiem projekta iesnieguma vērtēšanas kritērijiem;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"nozaru", jo pārējais MKN saturs neatrunā projektu iesniegumu sadalījumu pa nozarēm.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Austriņa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18.6. ja vairākiem nozaru projektu iesniegumiem otrās kārtas ietvaros ir vienāds punktu skaits, priekšroka ir projektam, kas investīcijas otrās atlases kārtas kvalitātes kritērijā "Projektā plānotais apmācāmo komersantu skaits" un kvalitātes kritērijā "Iepriekšējā pieredze" ir ieguvis augstāku punktu skaitu atbilstoši šo noteikumu </w:t>
            </w:r>
            <w:r w:rsidR="00000000" w:rsidRPr="00000000" w:rsidDel="00000000">
              <w:rPr>
                <w:rtl w:val="0"/>
              </w:rPr>
              <w:t xml:space="preserve">1. </w:t>
            </w:r>
            <w:r w:rsidR="00000000" w:rsidRPr="00000000" w:rsidDel="00000000">
              <w:rPr>
                <w:rtl w:val="0"/>
              </w:rPr>
              <w:t xml:space="preserve">pielikumu</w:t>
            </w:r>
            <w:r w:rsidR="00000000" w:rsidRPr="00000000" w:rsidDel="00000000">
              <w:rPr>
                <w:rtl w:val="0"/>
              </w:rPr>
              <w:t xml:space="preserve">  noteiktajiem projekta iesnieguma vērtēšanas kritērijiem;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apakšpunkta saturu pārcelt uz MKN 29.4. apakšpunktu, kur tiek atrunāta projektu iesniegumu sarindošana.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Austriņa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18.8. neatbilst izslēgšanas kritērijiem, kas noteikti Komisijas regula Nr. 2018/1046 136. pantā.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precīzu Eiropas Parlamenta un Padomes Regulas (ES, Euratom) 2018/1046 (2018. gada 18. jūlijs) par finanšu noteikumiem, ko piemēro Savienības vispārējam budžetam, ar kuru groza Regulas (ES) Nr. 1296/2013, (ES) Nr. 1301/2013, (ES) Nr. 1303/2013, (ES) Nr. 1304/2013, (ES) Nr. 1309/2013, (ES) Nr. 1316/2013, (ES) Nr. 223/2014, (ES) Nr. 283/2014 un Lēmumu Nr. 541/2014/ES un atceļ Regulu (ES, Euratom) Nr. 966/2012 nosaukumu un iekavās atrunāt saīsinājumu.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23.2.1. plānoto maksājumu pieprasījuma iesniegšanas grafiku, paredzot, ka maksājuma pieprasījumi tiks iesniegti ne biežāk kā reizi pusgadā ņemot vērā šo noteikumu 52.punktu;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ietverto atsauci uz noteikumu projekta 52.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Fomčenkova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23.4. gala labuma guvēja līmenī veikt pārbaudes par komercdarbības atbalsta nosacījumu ievērošanu, tai skaitā: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redakciju, novēršot informācijas dublēšanos un attiecinot dokumentēšanas pienākumu uz visām veicamajām pārbaudēm.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23.4. gala labuma guvēja līmenī veikt pārbaudes un tās dokumentēt, saglabājot liecības un pamatojumu veiktajam izvērtējumam, tai skaitā: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23.4.1. par komercdarbības atbalsta nosacījumu ievērošanu;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23.4.2. par interešu konflikta, krāpšanas, korupcijas, kā arī dubultfinansējuma riska novēršanu;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23.4.3. par sasniegto atskaites punktu un mērķu pamatojošo dokumentāciju, t.sk. datu ticamību.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Austriņa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23.8. iesniegt CFLA  pieprasījumus divas reizes gadā, tajā iekļaujot izdevumu un sasniegto rādītāju pamatojošos dokumentus. Pēdējo maksājuma pieprasījumu iesniedz Vadības informācijas sistēmā ne vēlāk kā līdz 2026. gada 30. jūnijam;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23.8.apakšpunktu ar vārdu "maksājumu" pirms vārda "pieprasījumus".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25.3. mērķu pamatojošās dokumentācijas pārbaudēm, t.sk. datu ticamības pārbaudēm un pārbaudēm CFLA līmenī un finansējuma saņēmēja līmenī, finansējuma saņēmēja un gala labuma guvēju līmenī, lai investīcijas īstenošanas laikā novērstu korupciju, krāpšanu, dubultfinansējuma risku un interešu konfliktu saskaņā ar Komisijas 2018. gada 18. jūlija Regulas (ES)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(turpmāk - Komisijas regula Nr. 2018/1046) 61.pantu;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korektu regulas izdevēju. Papildus lūdzam skatīt priekšlikumu pie noteikumu projekta 18.8. apakšpunkta.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25.3. mērķu pamatojošās dokumentācijas pārbaudēm, t.sk. datu ticamības pārbaudēm un pārbaudēm CFLA līmenī un finansējuma saņēmēja līmenī, finansējuma saņēmēja un gala labuma guvēju līmenī, lai investīcijas īstenošanas laikā novērstu korupciju, krāpšanu, dubultfinansējuma risku un interešu konfliktu saskaņā ar Komisijas 2018. gada 18. jūlija Regulas (ES)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(turpmāk - Komisijas regula Nr. 2018/1046) 61.pantu;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redakciju, nodrošinot tās sasaisti ar 25. punktā teikto, piemēram, "par mērķu pamatojošās dokumentācijas pārbaudēm" vai "kārtību, kādā tiek veikta mērķu pamatojošās dokumentācijas pārbaude".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Austriņa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Veidojot šo noteikumu 29. punktā minēto atbalstāmo tiešsaistes kursu sarakstu, finansējuma saņēmējs izvēlas kursus, kas atbilst šādām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noteikuma projekta 35. punktā atsauci uz noteikuma projekta 29. punktu, ņemot vērā, ka uz tiešsaistes kursu sarakstu ir attiecināms noteikumu projekta 34. punkts. Vēršam uzmanību, ka noteikumu projekta 29. punkts ir par projekta iesniegumu vērtēšanu.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35.3. izvēlētie atvērto tiešsaistes platformu kursi atbilst šo noteikumu 25. punktā minētajām apmācību jomām.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35.3. apakšpunktā atsauci uz 25. punktu. Vēršam uzmanību, ka noteikuma projekta 25. punktā nav norādītas apmācību jomas.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Ja gala labuma guvējs pirmās kārtas ietvaros izvēlas atvērto tiešsaistes kursu, kas nav iekļauts šo noteikumu 29. punktā minētajā sarakstā, finansējuma saņēmējs izvērtē atvērto tiešsaistes kursu atbilstību šo noteikumu 30. punktā minētajām prasībām un par rezultātu paziņo gala labuma guvējam.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atsauces uz noteikuma projekta punktiem.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37.3. apmācībām jomās, kas nav iekļautas šo noteikumu 25. un 26. 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pareizos punktus uz kuriem veikta atsauce noteikuma projekta 37.3. apakšpunktā.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Pirmās un otrās kārtas izmaksas attiecināmas no projekta iesnieguma iesniegšanas dienas KPVIS. Gala labuma guvēja radušās izmaksas var attiecināt no brīža, kad finansējuma saņemējs pieņēmis lēmumu par komercdarbības atbalsta piešķiršanu.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KPVIS saīsinājumu, vēršam uzmanību, ka iepriekš ir atrunāts saīsinājums "Vadības informācijas sistēma".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Pirmās un otrās kārtas izmaksas attiecināmas no projekta iesnieguma iesniegšanas dienas KPVIS. Gala labuma guvēja radušās izmaksas var attiecināt no brīža, kad finansējuma saņemējs pieņēmis lēmumu par komercdarbības atbalsta piešķiršanu.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kas tās varētu būt par izmaksām , kas rastos gala labuma guvējiem.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Investīcijas ietvaros noslēgto pakalpojumu līgumu, tai skaitā šo noteikumu 39.1.1.3., 39.1.2., 39.2.2. un 39.2.5. apakšpunktā minēto darbību izpildei, līgumu darbības termiņš ir līdz 2026. gada 30. jūnijam.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atsauces uz punktiem.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58.3. diena, kad finansējuma saņēmējs pieņem lēmumu par gala labuma guvēju atbilstību komercdarbības atbalsta normām, ir uzskatāma par komercdarbības atbalsta piešķiršanas dienu gala labuma guvējam;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dzēst, jo dublē MKN 58.1. apakšpunktā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Austriņa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 Par komercdarbības atbalsta piešķiršanas dienu gala labuma guvējam ir uzskatāma diena, kad finansējuma saņēmējs pieņem lēmumu par komercdarbības atbalsta piešķiršanu.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dzēst, jo dublē MKN 58. punkta saturu.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Austriņa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3.sadaļā kā n gadu norādīt 2023.gadu, attiecīgi atspoguļojot precizēto projekta ietekmi uz budžetu korektajās ailēs, kā arī precizējot 6.punktā un punktā “Cita informācija” sniegto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Tiešsaistes</w:t>
            </w:r>
            <w:r w:rsidR="00000000" w:rsidRPr="00000000" w:rsidDel="00000000">
              <w:rPr>
                <w:u w:val="single"/>
                <w:rtl w:val="0"/>
              </w:rPr>
              <w:t xml:space="preserve"> kusi</w:t>
            </w:r>
            <w:r w:rsidR="00000000" w:rsidRPr="00000000" w:rsidDel="00000000">
              <w:rPr>
                <w:rtl w:val="0"/>
              </w:rPr>
              <w:t xml:space="preserve"> ļaus nodarbinātajiem mācībām piekļūt uzreiz,</w:t>
            </w:r>
            <w:r w:rsidR="00000000" w:rsidRPr="00000000" w:rsidDel="00000000">
              <w:rPr>
                <w:u w:val="single"/>
                <w:rtl w:val="0"/>
              </w:rPr>
              <w:t xml:space="preserve"> neigaidot</w:t>
            </w:r>
            <w:r w:rsidR="00000000" w:rsidRPr="00000000" w:rsidDel="00000000">
              <w:rPr>
                <w:rtl w:val="0"/>
              </w:rPr>
              <w:t xml:space="preserve">, kad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Tiešsaistes </w:t>
            </w:r>
            <w:r w:rsidR="00000000" w:rsidRPr="00000000" w:rsidDel="00000000">
              <w:rPr>
                <w:u w:val="single"/>
                <w:rtl w:val="0"/>
              </w:rPr>
              <w:t xml:space="preserve">kursi</w:t>
            </w:r>
            <w:r w:rsidR="00000000" w:rsidRPr="00000000" w:rsidDel="00000000">
              <w:rPr>
                <w:rtl w:val="0"/>
              </w:rPr>
              <w:t xml:space="preserve"> ļaus nodarbinātajiem mācībām piekļūt uzreiz, </w:t>
            </w:r>
            <w:r w:rsidR="00000000" w:rsidRPr="00000000" w:rsidDel="00000000">
              <w:rPr>
                <w:u w:val="single"/>
                <w:rtl w:val="0"/>
              </w:rPr>
              <w:t xml:space="preserve">negaidot</w:t>
            </w:r>
            <w:r w:rsidR="00000000" w:rsidRPr="00000000" w:rsidDel="00000000">
              <w:rPr>
                <w:rtl w:val="0"/>
              </w:rPr>
              <w:t xml:space="preserve">, kad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Mikus Spalviņš (CFLA)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22-TA-593</w:t>
    </w:r>
    <w:r>
      <w:br/>
    </w:r>
    <w:r w:rsidR="00000000" w:rsidRPr="00000000" w:rsidDel="00000000">
      <w:rPr>
        <w:rtl w:val="0"/>
      </w:rPr>
      <w:t xml:space="preserve">Izdrukāts 11.01.2023. 17.28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22-TA-593</w:t>
    </w:r>
    <w:r>
      <w:br/>
    </w:r>
    <w:r w:rsidR="00000000" w:rsidRPr="00000000" w:rsidDel="00000000">
      <w:rPr>
        <w:rtl w:val="0"/>
      </w:rPr>
      <w:t xml:space="preserve">Izdrukāts 11.01.2023. 17.28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Atzinumi_22-TA-593.docx</dc:title>
</cp:coreProperties>
</file>

<file path=docProps/custom.xml><?xml version="1.0" encoding="utf-8"?>
<Properties xmlns="http://schemas.openxmlformats.org/officeDocument/2006/custom-properties" xmlns:vt="http://schemas.openxmlformats.org/officeDocument/2006/docPropsVTypes"/>
</file>