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likumu 19.panta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piemērot vienkāršoto izmaksu nosacījumus, lūdzam papildināt noteikumu projekta deleģējumu ar Eiropas Savienības fondu 2021.-2027.gada plānošanas perioda vadības likumu 19.panta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komersanti - lielie komersanti, kas atbilst Komisijas 2014. gada 17. jūnija Regulas (ES) Nr. 651/2014 ar ko noteiktas atbalsta kategorijas atzīst par saderīgām ar iekšējo tirgu, piemērojot Līguma 107. un 108. pantu (turpmāk – Komisijas regula Nr. 651/2014) 2. panta 24. punktā noteiktajai definīcijai, mazie un vidējie komersanti, kas atbilst Komisijas regulas Nr. 651/2014 I pielikuma 2. panta 1. punktā noteiktajiem kritērijiem un ir Latvijas Republikas komercreģistrā reģistrētas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2021. gada 24. jūnija regulas 2021/1058 par Eiropas Reģionālās attīstības fondu un Kohēzijas fondu 5.panta 2.punktu, kā arī Eiropas Savienības kohēzijas politikas programmas 2021.–2027.gadam 85.§ noteikto, lielie komersanti nav atbalstāmi, izņemot mazās vidējās kapitalizācijas sabiedrības (small mid-caps, ar darbinieku skaitu līdz 499). Lūdzam atbilstoši precizēt noteikumu projekta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1.2.1.SAM ietvaros lielie komersanti var tikt atbalstīti tikai ar nosacījumu, ja atbalsts ietver sadarbību ar MVU P&amp;I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projekta 2.1.apakšpunkta redakcija rada lielu attiecināmības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kopējais finansējums ir 2 000 000 euro, tai skaitā Eiropas Reģionālās attīstības fonda finansējums 1 700 000 euro apmērā (t.sk. elastības finansējums 268 133 euro) un valsts budžeta finansējums – 300 000 euro apmērā (t.sk. elastības finansējums 47 318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milj. EUR ir plānotais, nevis pieejamais finansējums, lūdzam noteikumu projekta 5.punktu sadalīt divos atsevišķos punktos vai apakšpunktos, izdalot atsevišķi plānotā un pieejamā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finansējums ir 2 000 000 </w:t>
            </w:r>
            <w:r w:rsidR="00000000" w:rsidRPr="00000000" w:rsidDel="00000000">
              <w:rPr>
                <w:i w:val="1"/>
                <w:rtl w:val="0"/>
              </w:rPr>
              <w:t xml:space="preserve">euro</w:t>
            </w:r>
            <w:r w:rsidR="00000000" w:rsidRPr="00000000" w:rsidDel="00000000">
              <w:rPr>
                <w:rtl w:val="0"/>
              </w:rPr>
              <w:t xml:space="preserve"> (tai skaitā elastības finansējums 315 451 </w:t>
            </w:r>
            <w:r w:rsidR="00000000" w:rsidRPr="00000000" w:rsidDel="00000000">
              <w:rPr>
                <w:i w:val="1"/>
                <w:rtl w:val="0"/>
              </w:rPr>
              <w:t xml:space="preserve">euro</w:t>
            </w:r>
            <w:r w:rsidR="00000000" w:rsidRPr="00000000" w:rsidDel="00000000">
              <w:rPr>
                <w:rtl w:val="0"/>
              </w:rPr>
              <w:t xml:space="preserve">), tai skaitā Eiropas Reģionālās attīstības fonda finansējums 1 700 000 </w:t>
            </w:r>
            <w:r w:rsidR="00000000" w:rsidRPr="00000000" w:rsidDel="00000000">
              <w:rPr>
                <w:i w:val="1"/>
                <w:rtl w:val="0"/>
              </w:rPr>
              <w:t xml:space="preserve">euro</w:t>
            </w:r>
            <w:r w:rsidR="00000000" w:rsidRPr="00000000" w:rsidDel="00000000">
              <w:rPr>
                <w:rtl w:val="0"/>
              </w:rPr>
              <w:t xml:space="preserve"> (tai skaitā elastības finansējums 268 133 </w:t>
            </w:r>
            <w:r w:rsidR="00000000" w:rsidRPr="00000000" w:rsidDel="00000000">
              <w:rPr>
                <w:i w:val="1"/>
                <w:rtl w:val="0"/>
              </w:rPr>
              <w:t xml:space="preserve">euro</w:t>
            </w:r>
            <w:r w:rsidR="00000000" w:rsidRPr="00000000" w:rsidDel="00000000">
              <w:rPr>
                <w:rtl w:val="0"/>
              </w:rPr>
              <w:t xml:space="preserve">) un valsts budžeta finansējums – 300 000 euro (tai skaitā elastības finansējums 47 318 euro). Maksimālais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iesniegumos pasākuma īstenošanai kopējo pasākuma pieejamo finansējumu plāno ne vairāk kā 1 684 649 </w:t>
            </w:r>
            <w:r w:rsidR="00000000" w:rsidRPr="00000000" w:rsidDel="00000000">
              <w:rPr>
                <w:i w:val="1"/>
                <w:rtl w:val="0"/>
              </w:rPr>
              <w:t xml:space="preserve">euro</w:t>
            </w:r>
            <w:r w:rsidR="00000000" w:rsidRPr="00000000" w:rsidDel="00000000">
              <w:rPr>
                <w:rtl w:val="0"/>
              </w:rPr>
              <w:t xml:space="preserve"> apmērā, tai skaitā ERAF finansējums 1 431 867 </w:t>
            </w:r>
            <w:r w:rsidR="00000000" w:rsidRPr="00000000" w:rsidDel="00000000">
              <w:rPr>
                <w:i w:val="1"/>
                <w:rtl w:val="0"/>
              </w:rPr>
              <w:t xml:space="preserve">euro</w:t>
            </w:r>
            <w:r w:rsidR="00000000" w:rsidRPr="00000000" w:rsidDel="00000000">
              <w:rPr>
                <w:rtl w:val="0"/>
              </w:rPr>
              <w:t xml:space="preserve"> apmērā un valsts budžeta finansējums – 252 682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palielināt pasākumam pieejamo kopējo finansējumu līdz šo noteikumu 5.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31.decembrim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rādītājus ar iznākuma rādītāju: "Atbalstītie uzņēmumi (tai skaitā: mikrouzņēmumi, mazi, vidēji un lieli uzņēmumi)" ar sasniedzamo vērtību 2029.gada 31.decembrī 10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 atbalstīto komersantu skaits, kas saņem grantus, – 10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atbilstoši Eiropas Savienības kohēzijas politikas programmai 2021.–2027.gadam - "Ar grantiem atbalstītie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rezultāta rādītājs - privātais finansējums, kas piesaistīts publiskajam finansējumam, kas ir granti, – 2 000 000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atbilstoši Eiropas Savienības kohēzijas politikas programmai 2021.–2027.gadam - "Publisko atbalstu papildinošās privātās investīcijas (tai skaitā: granti, finanšu instrumenti)".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projektu iesnieguma iesniegšanu izsludina vienu reizi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pie 5.punkta un veikt atbilstošu precizējumu. Šobrīd 5.punktā kā pieejams norādīts viss pasākumam </w:t>
            </w:r>
            <w:r w:rsidR="00000000" w:rsidRPr="00000000" w:rsidDel="00000000">
              <w:rPr>
                <w:b w:val="1"/>
                <w:rtl w:val="0"/>
              </w:rPr>
              <w:t xml:space="preserve">plānotais</w:t>
            </w:r>
            <w:r w:rsidR="00000000" w:rsidRPr="00000000" w:rsidDel="00000000">
              <w:rPr>
                <w:rtl w:val="0"/>
              </w:rPr>
              <w:t xml:space="preserve"> finansējums, bet, ņemot vērā, ka pasākumam paredzēts piemērot elastības finansējumu, nepieciešams atrunāt arī nosacījumus, ja atbildīgā iestāde pēc Eiropas Komisijas lēmuma par vidusposma pārskatu ierosinās palielināt pasākumam pieejamo kopējo finansējumu līdz plānotajam kopējam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komersants iesniegumus var iesniegt sākot ar iesniegumu atlases iesniegšanas dienu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projekta 8.2.apakšpunktā noteikto termiņu, ņemot vērā, ka noteikumu projekta 16.punktā noteikts, ka projektu jāīsteno divu gadu laikā kopš civiltiesiskā līguma noslēgšanas ar sadarbības iestādi, savukārt noteikumu projekts 10.punktā noteikts, ka pasākumu īsteno līdz 2029. gada 31. decembrim. Attiecīgi noteikumu projekta 8.2.apakšpunktā būtu iekļaujams termiņš - līdz 2027.gada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komersants iesniegumus var iesniegt sākot ar iesniegumu atlases iesniegšanas dienu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"Kārtība, kādā Eiropas Savienības fondu vadībā iesaistītās institūcijas nodrošina šo fondu ieviešanu 2021.–2027.gada plānošanas periodā" projekta 16. punktu tikai ierobežotas projektu iesniegumu atlases gadījumā projektu iesniegumu vērtēšanas komisija projekta iesniegumu var sākt vērtēt uzreiz pēc tā saņemšanas – atklātas atlases gadījumā projektu iesniegumu vērtēšanu var uzsākt tikai pēc projektu iesniegumu iesniegšanas termiņa beigām. Tādējādi saskaņā ar šobrīd noteikto projektu iesniegumu iesniegšanas beigu termiņu projektu iesniegumu vērtēšana tiktu uzsākta tikai 2026. gadā. Lūdzam dzēst šo punktu, projektu iesniegumu iesniegšanas termiņu nosakot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nosacījumus jaunas atlases kārtas izsludināšanai gadījumā, ja viss pieejamais finansējums netiek apgūts.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iesniegtos komersantu projektu iesniegumus, sadarbības iestāde izskata secīgi, ievērojot rindas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8.3. apakšpunktu - projektu iesniegumu izskatīšanas kārtība ir atlases nolikuma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saņēmējs projektu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10. punktu, ņemot vērā, ka projekta iesniedzēji ir komersanti, tad tiks slēgti civiltiesiski līgumi par projekta īstenošanu nevis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īstenošanu plāno saskaņā ar</w:t>
            </w:r>
            <w:r w:rsidR="00000000" w:rsidRPr="00000000" w:rsidDel="00000000">
              <w:rPr>
                <w:u w:val="single"/>
                <w:rtl w:val="0"/>
              </w:rPr>
              <w:t xml:space="preserve"> civiltiesisko līgumu</w:t>
            </w:r>
            <w:r w:rsidR="00000000" w:rsidRPr="00000000" w:rsidDel="00000000">
              <w:rPr>
                <w:rtl w:val="0"/>
              </w:rPr>
              <w:t xml:space="preserve">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1.2.1.3.pasākuma ietvaros veikto principa “Nenodarīt būtisku kaitējumu” novērtējumu, lūdzam noteikumu projektā noteikt, ka investīciju rezultātā netiks radīts būtisks kaitējums, kas saistīts ar 1) siltumnīcefekta gāzu (SEG) emisijām; 2) fosilo kurināmo (ieskaitot pakārtoto izmantošanu); 3) netiks plānotas darbības saskaņā ar emisijas kvotu tirdzniecības sistēmu plānotajām CO</w:t>
            </w:r>
            <w:r w:rsidR="00000000" w:rsidRPr="00000000" w:rsidDel="00000000">
              <w:rPr>
                <w:vertAlign w:val="subscript"/>
                <w:rtl w:val="0"/>
              </w:rPr>
              <w:t xml:space="preserve">2 </w:t>
            </w:r>
            <w:r w:rsidR="00000000" w:rsidRPr="00000000" w:rsidDel="00000000">
              <w:rPr>
                <w:rtl w:val="0"/>
              </w:rPr>
              <w:t xml:space="preserve">ekvivalenta emisijām; 4) pasākums neizraisīs pašreizējā klimata un gaidāmā klimata nelabvēlīgās ietekmes palielināšanos uz pašu darbību vai uz cilvēkiem, dabu vai aktīviem; 5) pasākums nekaitēs ūdensobjektu labam stāvoklim vai to labam ekoloģiskajam potenciālam, ieskaitot virszemes ūdeņus un gruntsūdeņus, vai jūras ūdeņu labam vides stāvoklim; 6) pasākums neradīs būtisku neefektivitāti materiālu izmantošanā vai dabas resursu tiešā vai netiešā izmantošanā; 7) pasākums būtiski nepalielinās atkritumu rašanos, sadedzināšanu vai apglabāšanu, netiks plānoti ieguldījumi atkritumu apglabāšanas iekārtās poligonos, mehāniskās bioloģiskās attīrīšanas un atkritumu sadedzināšanas iekārtās, kā arī darbībās, kurās ilgstoša atkritumu apglabāšana var radīt ilgtermiņa kaitējumu videi (piemēram, kodolatkritumi); 8) pasākuma rezultātā būtiski nepieaugs piesārņotāju emisijas gaisā, ūdenī vai zemē; 9) pasākums nekaitēs ekosistēmu labam stāvoklim un izturētspējai vai dzīvotņu un sugu, t. sk. Savienības nozīmes dzīvotņu un sugu, aizsardzības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kopā ar projekta iesniegumu sadarbības iestādē iesniedz biznesa plānu saskaņā ar atlases nolikumā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atteikties no biznesa plāna kā pielikuma iesniegšanas, ja vien papildus netiek izvirzītas prasības šī biznesa plāna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projekta iesniedzējam nav jābūt saņēmušam konsultāciju tirdzniecības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darbojas nozarēs, kas noteiktas Komisijas regulas Nr. 1407/2013 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Komisijas 2013. gada 18. decembra Regulu (ES) Nr. 1407/2013 par Līguma par Eiropas Savienības darbību 107. un 108. panta piemērošanu de minimis atbalstam (turpmāk – Komisijas regula Nr. 1407/2013) komercdarbības atbalstu nevar piešķirt tās 1.panta 1.punktā ne tikai minētajām nozarēm, bet arī darbībām,  un, lai nodrošinātu atbilstību Komisijas regulai Nr.1407/2013, lūdzam atbilstoši precizēt Ministru kabineta noteikumu projekta 14.2 punktu tā, lai ir skaidrs, ka attiecībā uz nozarēm tas ir minētas Komisijas regulas Nr.1407/2013 1.panta 1.punkta "a", "b" vai "c" apakšpunktā, savukārt darbības ir minētas Komisijas regulas Nr.1407/2013 1.panta 1.punkta "d" un "e" apakšpunktā. Kā arī ņemot vērā, ka Komisijas regulas Nr.1407/2013 1.panta 2.punkts paredz, ka gadījumā ja uzņēmums veic saimniecisko darbību arī nozarēs, kuras ir noteiktas Komisijas regulas Nr.1407/2013 1.panta 1.punkta "a", "b" vai "c" apakšpunktā, ir jānodrošina šo nozaru darbību vai izmaksu nodalīšana no tām darbībām, kurām piešķirts de minimis atbalsts. Lūdzam papildināt Ministru kabineta noteikumu projektu ar normu, kura paredz darbību vai izmaksu nodalīšanu.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brīdi, no kura ir attiecināmas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finansējuma saņēmēja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atbalstāmo darbību paredzēt obligātos informācijas un publicitātes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attiecināmās izmaksas obligāto publicitātes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(akcijas) emisijas prospekta, pamatprospekta, piedāvājuma galīgo noteikumu, uzņēmuma apraksta vai parāda vērtspapīru apraksta sagatavošanas, apstiprināšanas un publicēšanas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16.1.2. un 16.1.3. apakšpunktos norādītās attiecināmās izmaksas, lai to at</w:t>
            </w:r>
            <w:r w:rsidR="00000000" w:rsidRPr="00000000" w:rsidDel="00000000">
              <w:rPr>
                <w:rtl w:val="0"/>
              </w:rPr>
              <w:t xml:space="preserve">šķirība būtu nepārprotama (šī brīža redakcijā norādītās izmaksas savstarpēji pārklājas), kā arī lūdzam anotācijā ietvert skaidrojumu par šo izmaksu atšķirībām.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 punktu ņemot vērā, ka saskaņā ar  Eiropas Savienības fondu 2021.—2027. gada plānošanas perioda vadības likuma 29.pantu atklātas projektu iesniegumu atlases ietvaros projekta iesniegums pēc iesniegšanas līdz lēmuma pieņemšanai par tā apstiprināšanu, apstiprināšanu ar nosacījumu vai noraidīšanu nav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svītrot šo nosacījumu arī no anotācijas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par avansa* un starpposma maksājumu izmaksas nosacījumiem, tai skaitā to kopsummas apmēru. (*Ja ir paredzēta iespēja finansējuma saņēmējiem izmaksāt avansu).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pasākuma darbības, finansējuma saņēmējs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īstenojot projektu finansējuma saņēmēji nodrošina interešu konflikta nepieļaujamību saskaņā ar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ka iepirkumu procedūra ir īstenojama piemērojot sociāli atbildīgo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Sociāli atbildīgu publisko iepirkumu ir pieejama šeit: https://www.iub.gov.lv/lv/socialais-iepirkums. Vienlaikus aicinām izmantot Vadlīnijas sociāli atbildīga publiskā iepirkuma īstenošanai, kas ir pieejamas šeit: https://www.iub.gov.lv/lv/media/658/download; Ārvalstu prakses apkopojums ir pieejams šeit: https://www.iub.gov.lv/lv/media/877/download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Inovatīvo publisko iepirkumu ir pieejama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https://www.un.org/development/desa/disabilities/convention-on-the-rights-of-persons-with-disabilities/convention-on-the-rights-of-persons-with-disabilities-2.html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23.punktu, attiecībā uz atklātu, pārredzamu, nediskriminējošu un konkurenci nodrošinošu konkursa procedūru, ņemot vērā, ka valsts atbalsta kontekstā ir jānodrošina, ka darījums atbilst tirgus nosacījumiem un tādējādi tiek izslēgta ekonomiskā priekšrocība pakalpojumu sniedzējiem,  novēršot saņēmējam komercdarbības atbalsta esamību, ja pakalpojumu sniedzēju izraudzīšanās notikusi atklātā, pārredzamā, nediskriminējošā un konkurenci nodrošinošā konkursa procedūrā.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pasākuma īstenošanā izmanto vadošās un atbildīgās iestādes izstrādātās 2021.-2027.gada plānošanas perioda vienkāršoto izmaksu metodikas no to apstiprināšanas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 panta 2. punktā noteiktajam, darbības vai projekti, kas ir daļa no darbības, kuri saņem atbalstu no KF, ERAF vai ESF+ un kuru kopējās izmaksas nepārsniedz EUR 200 000, visas izmaksas tiek segtas ar vienu vienību, fiksētās summas maksājumu vai vienoto likmju veidā, izņemot darbības, kurām atbalsts kvalificējams kā komercdarbības (izņemot de minimis) atbalsts, kā arī ņemot vērā anotācijā sniegto informāciju, ka atbildīgā iestāde izstrādās vienkāršoto izmaksu metodiku, lūdzam precizēt MK noteikumu projekta 24.punkta redakciju, lai nepārprotami saprotams, ka visas izmaksas tiks segtas, piemērojot atbildīgās iestādes izstrādāto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ka atbalsta programmas darbības termiņš nepārsniedz Komisijas regulas Nr.1407/2013 7.panta 4.punktā un 8.pantā noteikto darbības termiņu, lūdzam Ministru kabineta noteikumu projektu papildināt ar informāciju par atbalsta programmas darbības termiņu. Informējam, ka šobrīd atbalstu saskaņā ar Komisijas regulu Nr.1407/2013 var sniegt līdz 2024.gada 30.jūnijam. Lūdzam ar šo informāciju atbilstoši arī papildināt Ministru kabineta noteikumu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Maksimāli pieļaujamā publiskā finansējuma atbalsta intensitāte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Nr.35 24.punktā noteikto atbalsta apmēru (akciju emisijai ne vairāk kā 100 000 EUR, bet parāda vērtspapīru emisijai - 20 000 EUR), lūdzam anotācijā sniegt pamatojumu tik ievērojam atbalsta apmēra palielinājumam.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Maksimāli pieļaujamā publiskā finansējuma atbalsta intensitāte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diferencēt atbalsta likmes atkarībā no finansējuma saņēmēja lieluma (mazie komersanti, vidējie komersanti un vidējās kapitalizācijas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Sadarbības iestāde lēmumu par atbalsta piešķiršanu pieņem trīs mēnešu laikā no projekta iesnieguma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26. punkta pēdējo teikumu. Vēršam uzmanību, ka gadījumos, kad projekta iesniegums bijis apstiprināms ar nosacījumu, nosacījumu izpildes termiņi ir atšķirīgi un tie attiecīgi ietekmē atzinuma par nosacījumu izpildi izdošanas (proti,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šajos noteikumos noteiktās komercdarbības atbalsta kontroles normas, tostarp nosacījumi, kas izriet no Komisijas regulas Nr. 1407/2013, finansējuma saņēmējam ir pienākums atmaksāt sadarbības iestādei visu saņemto atbalstu kopā ar procentiem no līdzekļiem, kas ir brīvi no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Ministru kabineta noteikumu projekta 34.punkta.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Atbalsta saņēmējs, iesniedzot iesniegumu, sniedz informāciju par plānoto un piešķirto atbalstu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30.punktu, jo MK noteikumu 29.punkts nosaka, ka atbalsta programmas ietvaros atbalstu nedrīkst apvienot ar citu atbalstu par tām pašām 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28.punkts un 34.punkts dublē atgūšanas normu un tā kā Ministru kabineta noteikumu projektā ir paredzēti stingrāki nosacījumi nekā Komisijas regulā Nr.1407/2013, piemēram, Ministru kabineta noteikumu projekta 29.punktā - kumulācijas aizliegums, tad lūdzam saglabāt 34.punktā iekļauto redakciju un svītrot Ministru kabineta noteikumu projekta 28.punktu. Vienlaikus lūdzam pārskatīt “gala labuma guvēja” terminoloģijas lietošanu šī Ministru kabineta noteikumu projekta 34.punkta ietvaros, ņemot vērā, ka šobrīd Ministru kabineta noteikumu projektā tiek lietots termins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teikumu "Tāpat atbalstam nevarēs kvalificēties komersanti, kas atbilstoši Komisijas regulai Nr. 651/2014 atbilst grūtībās nonākuša komersanta definīcijai", norādot, ka grūtībās nonākušie komersanti ir atbalstāmi saskaņā ar Parlamenta un Padomes 2021. gada 24. jūnija regulas Nr.2021/1058 par Eiropas Reģionālās attīstības fondu un Kohēzijas fondu 7.panta 1.punkta d) apakšpunktu, ņeomt vērā, ka </w:t>
            </w:r>
            <w:r w:rsidR="00000000" w:rsidRPr="00000000" w:rsidDel="00000000">
              <w:rPr>
                <w:i w:val="1"/>
                <w:rtl w:val="0"/>
              </w:rPr>
              <w:t xml:space="preserve">de minimis</w:t>
            </w:r>
            <w:r w:rsidR="00000000" w:rsidRPr="00000000" w:rsidDel="00000000">
              <w:rPr>
                <w:rtl w:val="0"/>
              </w:rPr>
              <w:t xml:space="preserve"> regulējums neliedz sniegt atbalstu grūtībās nonākušajiem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pirmajā rindkopā norādīt, ka atbalsta pasākums tiks ieviests ES struktūrfondu un Kohēzijas fonda 2014.-2020.gada plānošanas perioda ietvaros, kā arī norādīt pasākuma numuru (3.1.1.3.pasākums).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ka 1.2.1.3.pasākums ir 3.1.1.3.pasākuma turpinājums.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ieguldījumiem plānota tieša ietekme uz horizontālo principu “Vienlīdzība, iekļaušana, nediskriminācija un pamattiesību ievērošana”, noteikumu projektā ir jābūt iekļautiem HP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netiešās ietekmes gadījumā noteikumu projektā jāiekļauj vismaz viens horizontālo principu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intervences kodiem (1.2.1.3.pasākuma ietvaros ir 21. intervences kods "MVU uzņēmējdarbības attīstība un internacionalizācija, tostarp ienesīgi ieguldījumi", kuram piemērojams finansējums 1 700 000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teikumu "Finansējuma saņēmēja vienkāršoto izmaksu metodika tiks izstrādāta un apstiprināta līdz projektu iesniegšanai sadarbības iestādē (CFLA)" – par kādu finansējuma saņēmēja metodiku tiek runāts? Vēršam uzmanību, ka sadarbības iestāde var ievērot šajos noteikumos (un anotācijā)  ietverto atlases izsludināšanas termiņu 3 mēnešus pēc šo noteikumu spēkā stāšanās tikai gadījumā, ja tam nerodas šķēršļi citu pušu darbības vai bezdarbības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tekstu "Projektu iesniegumu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iesnieguma iesniegšanu paziņo sadarbības iestāde ne vēlāk kā 3 mēnešus pēc šo noteikumu stāšanās spēkā, un projektu iesniegumu izsniegšanu izsludina vienu reizi par visu pieejamo finansējumu. Komersants iesniegumus var iesniegt sākot ar iesniegumu atlases iesniegšanas dienu līdz 2026.gada 31.decembrim.", ņemot vērā paustos iebildumus noteikumu projekta 8.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teikumus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atbalsta piešķiršanu pieņem trīs mēnešu laikā no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Iebilduma pamatojumu lūdzu skatīt pie noteikuma projekta 21. un 24.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"nav atbalstāms projekta iesniegums uz parāda vērtspapīru iekļaušanu, ja projekta iesniedzējs ir pieteicies  un saņem atbalstu akciju iekļaušanu tirdzniecības vietā." Lūdzam skaidrot, vai ir atbalstāms projekta iesniegums, kura iesniedzējs iepriekš ir saņēmis atbalstu akciju emisijai (piemēram, 2014.–2020. gada plānošanas periodā vai šajā pašā pasākumā), bet līdz projekta iesnieguma iesniegšanas brīdim projekts ir pilnībā pabeigts. Vienlaikus lūdzam norādīt, vai atbilde attiecas gan uz gadījumiem, kad projekta iesniedzējs pretendē uz atbalstu akciju emisijai, gan uz gadījuiem, projekta iesniedzējs pretendē uz atbalstu parāda vērtspapīriem.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Nr.1 6.punktā ir norādīts provizoriskais finansējuma izlietojums pa gadiem, sākot ar 2023.gadu. Ņemot vērā, ka projekta ilgums ir paredzēts ne vairāk par diviem gadiem, ka arī projektu iesniegumu atlasi plānots izsludināt trīs mēnešu laikā pēc šo noteikumu spēkā stāšanās, lūdzam izvērtēt, vai 2023.gadā tiešām plānoti izdevumi, proti optimistiskā scenārija gadījumā, komersantam būs jāīsteno projekts aptuveni 6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informāciju, ka finansējuma izlietojums ir paredzēts 2030.gadā, jo ES fondu 2021.-2027.gada plānošanas perioda attiecināmība beidzas 2029.gada 31.decembrī.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komersantu interešu pārstāvošo biedrību, nodibinājumu un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par nepieciešamību ievērot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redakciju, iekļaujot arī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atrunāt, pēc kādiem kritērijiem noteikt, vai uzņēmums ir inovatīvs.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pētniecību, attīstību un inovāciju saistīto investīciju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4.punkta nosacījums neierobežo komersantu skaitu, kuri varētu pieteikties atbalstam. Ņemot vērā 2014.-2020.g. plānošanas perioda pieredzi, šajā programmā būtu pēc iespējas jāpaplašina potenciālo atbalsta saņēmēju loks.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ir komersants atbilstoši šo noteikumu 2.1. apakšpunktā un 4.punktā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noteikuma projekta ietvaros liek lietots termins gan projekta iesniedzējs, gan finansējuma saņēmējs, tad lūdzam papildināt noteikumu projekta 12.punktu ar nosacījumu, ka pēc projekta iesnieguma iesniegšanas komersanti ir arī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atbilst Eiropas Savienības fondu 2021.-2027.gada plānošanas perioda vadības likuma 22.pantā minētajiem projekta iesniedzēju izslēgšanas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14.1. apakšpunktu, ņemot vērā, ka tiek dublēts Eiropas Savienības fondu 2021.—2027. gada plānošanas perioda vadības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un arī anotācijā atteikties no 2 gadu termiņa. 2014.-2020.periodā, īstenojot 3.1.1.3 projektus, prakse pierādīja, ka komersanti nevar iekļauties šajā termiņā. Attiecīgi lūdzu veikt arī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punkta redakciju, ņemot vērā, ka nav šādas izmaksu pozīcijas "tiešās sagatavošanās izmaksa".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 punktā minētās izmaksas attiecināmas saskaņā ar atbalstu, kas sniegts atbilstoši Komisijas regulai Nr. 1407/2013. Vienā projekta iesniegumā var pieteikties atbalstam vienā no šajā punktā minētajiem atbalsta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punktu norādot,  kurā konkrēti punktā minētajiem atbalsta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iesniegumā norādītās izmaksas, kas nav norādītas kā attiecināmās izmaksas šo noteikumu 16. punktā, un izmaksas, kas radušās sadārdzinājuma dēļ, kā arī nav samērīgas un atbilstošas tirgus cenām, ir neattiecināmas, un finansējuma saņēmējs apņemas tās segt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punkta redakciju ņemot vērā, ka finansējuma saņēmējs punktā norādītās izmaksas "sedz" no saviem saviem līdzekļiem nevis "apņemas segt".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norādītās izmaksas, kas nav norādītas kā attiecināmās izmaksas šo noteikumu 16. punktā, un izmaksas, kas radušās sadārdzinājuma dēļ, kā arī nav samērīgas un atbilstošas tirgus cenām, ir neattiecināmas, un finansējuma saņēmējs tās sedz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atbalstāmo darbību ietvaros ir attiecināms pievienotās vērtības nodoklis šo noteikumu 16.punktā minētajām izmaksām atbilstoši Regulas Nr. 2021/1060 64.panta 1.punkta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pilnu Regulas 2021/1060 nosaukumu un iekavās atrunāt saīsinājumu, ko izmantot turpmāk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pasākuma darbības, finansējuma saņēmējs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iekļaut informāciju par pienākumu uzkrāt un uzskaitīt nepieciešamos datus projekta rādītāju sasniegšanas progresa noteikšanai, pētījumu vajadzībām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publicitātes pasākumus, saskaņā ar Eiropas Parlamenta un Padomes 2021. gada 30.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47.pantu un 50.pantu, un normatīvajiem aktiem par kārtību, kādā Eiropas Savienības kohēzijas politikas programmas 2021.–2027.gada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fondu 2021.-2027.gada plānošanas perioda ietvaros publicitātes nosacījumi ir ietverti Ministru kabineta noteikumos "Kārtība, kādā Eiropas Savienības fondu vadībā iesaistītās institūcijas nodrošina šo fondu ieviešanu 2021.–2027.gada plānošanas periodā" (šobrīd saskaņošanas procesā), tad lūdzam precizēt noteikumu projekta 22.1. 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sadarbības iestādei informāciju par to, vai finansējuma saņēmējs darbojas inovāciju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šo informāciju nevar iesniegt jau pie projekta iesnieguma iesniegšanas, pirms noslēgts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definēt, kas ir inovatīva un beznosacījumu iepirkumu procedūra.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pasākuma īstenošanā izmanto vadošās un atbildīgās iestādes izstrādātās 2021.-2027.gada plānošanas perioda vienkāršoto izmaksu metodikas no to apstiprināšanas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ka f</w:t>
            </w:r>
            <w:r w:rsidR="00000000" w:rsidRPr="00000000" w:rsidDel="00000000">
              <w:rPr>
                <w:u w:val="single"/>
                <w:rtl w:val="0"/>
              </w:rPr>
              <w:t xml:space="preserve">inansējuma saņēmējs</w:t>
            </w:r>
            <w:r w:rsidR="00000000" w:rsidRPr="00000000" w:rsidDel="00000000">
              <w:rPr>
                <w:rtl w:val="0"/>
              </w:rPr>
              <w:t xml:space="preserve"> pasākuma īstenošanā izmanto vadošās un atbildīgās iestādes izstrādātās 2021.-2027.gada plānošanas perioda vienkāršoto izmaksu metodikas no to apstiprināšanas brīža, nevis </w:t>
            </w:r>
            <w:r w:rsidR="00000000" w:rsidRPr="00000000" w:rsidDel="00000000">
              <w:rPr>
                <w:u w:val="single"/>
                <w:rtl w:val="0"/>
              </w:rPr>
              <w:t xml:space="preserve">Sadarbības iestāde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šajos noteikumos noteiktās komercdarbības atbalsta kontroles normas, tostarp nosacījumi, kas izriet no Komisijas regulas Nr. 1407/2013, finansējuma saņēmējam ir pienākums atmaksāt sadarbības iestādei visu saņemto atbalstu kopā ar procentiem no līdzekļiem, kas ir brīvi no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uz noteikumu projekta V. sadaļu ņemot vērā, ka norma ir par komercdarbības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MKN tekstā un anotācija tiek lietots termins "sadarbības iestāde" ierosinām anotācijas 1.3.sadaļas rindkopā: "</w:t>
            </w:r>
            <w:r w:rsidR="00000000" w:rsidRPr="00000000" w:rsidDel="00000000">
              <w:rPr>
                <w:i w:val="1"/>
                <w:rtl w:val="0"/>
              </w:rPr>
              <w:t xml:space="preserve">Pasākuma ietvaros finansējums tiek izmaksāts tikai pēc sekmīgas akciju vai parāda vērstpapīru iekļaušanās tirdzniecības vietā – proti, komersants vispirms iesniedz projekta iesnieguma dokumentāciju sadarbības iestādei – Centrālajai un finanšu līgumu aģentūrai (turpmāk – CFLA) – un finansējums tiek izmaksāts tikai pēc sekmīgas iekļaušanās tirdzniecības vietā ar mērķi nodrošināt finansējuma saņēmēju motivāciju sagatavot pēc iespējas kvalitatīvu projektu iesniegumu iesniegšanu.</w:t>
            </w:r>
            <w:r w:rsidR="00000000" w:rsidRPr="00000000" w:rsidDel="00000000">
              <w:rPr>
                <w:rtl w:val="0"/>
              </w:rPr>
              <w:t xml:space="preserve">" Svītrot daļu "– Centrālajai un finanšu līgumu aģentūrai (turpmāk – CFLA)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anotācijas 1.3. sadaļas "Risinājuma apraksts" ar vārdiem "2014.-2020.gada Eiropas Savienības fondu plānošanas perioda programmai "Atbalsts mazo, vidējo komersantu finansējuma piesaistei kapitāla tirgos” ir domāta darbības programma, lūdzam precizēt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pasākuma īstenošanai </w:t>
            </w:r>
            <w:r w:rsidR="00000000" w:rsidRPr="00000000" w:rsidDel="00000000">
              <w:rPr>
                <w:u w:val="single"/>
                <w:rtl w:val="0"/>
              </w:rPr>
              <w:t xml:space="preserve">Ekonomikas ministrija</w:t>
            </w:r>
            <w:r w:rsidR="00000000" w:rsidRPr="00000000" w:rsidDel="00000000">
              <w:rPr>
                <w:rtl w:val="0"/>
              </w:rPr>
              <w:t xml:space="preserve">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atbilstoši noteikumu projekta 10.punktam vienošanos par projekta īstenošanu noslēdz starp finansējuma saņēmēju un </w:t>
            </w:r>
            <w:r w:rsidR="00000000" w:rsidRPr="00000000" w:rsidDel="00000000">
              <w:rPr>
                <w:u w:val="single"/>
                <w:rtl w:val="0"/>
              </w:rPr>
              <w:t xml:space="preserve">sadarbības iestādi.</w:t>
            </w:r>
            <w:r w:rsidR="00000000" w:rsidRPr="00000000" w:rsidDel="00000000">
              <w:rPr>
                <w:rtl w:val="0"/>
              </w:rPr>
              <w:t xml:space="preserve"> Ņemot vērā, ka sadarbība iestāde ir Centrālā finanšu un līgumu aģentūra, lūdzam izvērtēt kura ministrija pieprasīs finansējumu pasākuma īstenošanai, nepieciešamības gadījumā precizējot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5.1.apakšpunktā norādīt precizēto finansiālo ietekmi, vienlaikus 6.punktā lūdzam precizēt finansējuma izlietojumu pa gadiem, ņemot vērā, ka šobrīd norādītā finansējuma kopsumma pārsniedz noteikumu projektā paredzēto 1.2.1.3. pasākumam pieejamo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22-TA-2235</w:t>
    </w:r>
    <w:r>
      <w:br/>
    </w:r>
    <w:r w:rsidR="00000000" w:rsidRPr="00000000" w:rsidDel="00000000">
      <w:rPr>
        <w:rtl w:val="0"/>
      </w:rPr>
      <w:t xml:space="preserve">Izdrukāts 23.03.2023.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22-TA-2235</w:t>
    </w:r>
    <w:r>
      <w:br/>
    </w:r>
    <w:r w:rsidR="00000000" w:rsidRPr="00000000" w:rsidDel="00000000">
      <w:rPr>
        <w:rtl w:val="0"/>
      </w:rPr>
      <w:t xml:space="preserve">Izdrukāts 23.03.2023.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Atzinumi_22-TA-2235.docx</dc:title>
</cp:coreProperties>
</file>

<file path=docProps/custom.xml><?xml version="1.0" encoding="utf-8"?>
<Properties xmlns="http://schemas.openxmlformats.org/officeDocument/2006/custom-properties" xmlns:vt="http://schemas.openxmlformats.org/officeDocument/2006/docPropsVTypes"/>
</file>