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tiek pārkāptas šajos noteikumos noteiktās komercdarbības atbalsta piešķiršanas prasības, finansējuma saņēmējam un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atbalsts tiek sniegts saskaņā ar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lūdzam precizēt nelikumīgā komercdarbības atbalsta atgūšanas normu. Lūdzam piedāvātās redakcijas piemēru skatīt zemāk.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piešķiršanas prasības vispārējas tautsaimnieciskas nozīmes pakalpojuma sniegšanai, finansējuma saņēmējam un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izmaksu apmērs nepārsniedz ierobežojumu, ko aprēķina ar minimālo izmaksu bāzi 34 422 </w:t>
            </w:r>
            <w:r w:rsidR="00000000" w:rsidRPr="00000000" w:rsidDel="00000000">
              <w:rPr>
                <w:i w:val="1"/>
                <w:rtl w:val="0"/>
              </w:rPr>
              <w:t xml:space="preserve">euro</w:t>
            </w:r>
            <w:r w:rsidR="00000000" w:rsidRPr="00000000" w:rsidDel="00000000">
              <w:rPr>
                <w:rtl w:val="0"/>
              </w:rPr>
              <w:t xml:space="preserve"> gadā, pieskaitot 0,64 % no projekta tiešajām attiecināmajām izmaksām, bet neieskaitot tiešās projekta vadības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vadošās iestādes vadlīniju Nr.1.2. ''Vadlīnijas attiecināmo izmaksu noteikšanai 2021.-2027.gada plānošanas periodā" 25. zemsvītras atsaucei,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izmaksu apmērs nepārsniedz ES fondu daļas ierobežojumu, ko aprēķina ar minimālo izmaksu bāzi 34 422 euro gadā, pieskaitot 0,64 % no projekta tiešajām attiecināmajām izmaksām, bet neieskaitot tiešās projekta vadības personāla izmaksas, un summu reizinot ar projekta ilgumu gados. Ja projekts ilgst mazāk par gadu vai nepilnos kalendārajos gados, ierobežojums tiek aprēķināts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w:t>
            </w:r>
            <w:r w:rsidR="00000000" w:rsidRPr="00000000" w:rsidDel="00000000">
              <w:rPr>
                <w:rtl w:val="0"/>
              </w:rPr>
              <w:t xml:space="preserve">30.4.</w:t>
            </w:r>
            <w:r w:rsidR="00000000" w:rsidRPr="00000000" w:rsidDel="00000000">
              <w:rPr>
                <w:rtl w:val="0"/>
              </w:rPr>
              <w:t xml:space="preserve"> apakšpunktā minētās atbalstāmās darbības ietvaros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 tai skaitā atbilstoši nepieciešamībai, lai nodrošinātu piekļūstamību informācijai, attiecināmas ir horizontālā principa “Vienlīdzība, iekļaušana, nediskriminācija un pamattiesību ievērošana” darbību īstenošanai, t.sk. indukcijas cilpu nomas, zīmju valodas tulku un vieglās valodas tulkošanas pakalpojumu izmaksas, subtitrēšanas un reāllaika transkripcijas 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36. punktā vārdus "tai skaitā" ar vārdiem "kā arī". Vēršam uzmanību, ka normatīvais regulējums, uz kuru atsaucas noteikumu projekta 36. punktā, sevī neietver piekļūstamības prasības horizontālā principa "Vienlīdzība, iekļaušana, nediskriminācija un pamattiesību ievērošana" īstenošanas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30.4. apakšpunktā minētās atbalstāmās darbības ietvaros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w:t>
            </w:r>
            <w:r w:rsidR="00000000" w:rsidRPr="00000000" w:rsidDel="00000000">
              <w:rPr>
                <w:u w:val="single"/>
                <w:rtl w:val="0"/>
              </w:rPr>
              <w:t xml:space="preserve"> kā arī</w:t>
            </w:r>
            <w:r w:rsidR="00000000" w:rsidRPr="00000000" w:rsidDel="00000000">
              <w:rPr>
                <w:rtl w:val="0"/>
              </w:rPr>
              <w:t xml:space="preserve"> atbilstoši nepieciešamībai, lai nodrošinātu piekļūstamību informācijai, attiecināmas ir horizontālā principa “Vienlīdzība, iekļaušana, nediskriminācija un pamattiesību ievērošana” darbību īstenošanai, t.sk. indukcijas cilpu nomas, zīmju valodas tulku un vieglās valodas tulkošanas pakalpojumu izmaksas, subtitrēšanas un reāllaika transkripcijas 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ja pašu ieņēmumi atbalstītajā objektā ir 50 procenti vai mazāki par 50 procentiem no izglītības jomas pakalpojumu sniedzēja gada budžeta atbalstītajā objektā projekta pārskata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tas kritērijs, pēc kura tiek izslēgts komercdarbības atbalsts, lūdzam precizēt noteikumu projekta 42.1. apakšpunkta redakciju. Lūdzam piedāvātās redakcijas piemēru skatīt zemāk.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darbībai nav saimnieciska rakstura, ja pašu ieņēmumi atbalstītajā objektā ir 50 procenti vai mazāki par 50 procentiem no izglītības jomas pakalpojumu sniedzēja gada budžeta atbalstītajā objektā projekta dzīves ciklā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ja pašu ieņēmumi atbalstītajā objektā ir 50 procenti vai mazāki par 50 procentiem no izglītības jomas pakalpojumu sniedzēja gada budžeta atbalstītajā objektā projekta pārskata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uzraudzības mehānismu, kādā nodrošināma projekta uzraudzība projekta dzīves ciklā (amortizācijas periodā). Aicinām izvērtēt iespēju ieviest pašdeklarāciju principu, balstoties uz riskos balstītu pieeju, piemēram, paredzēt finansējuma saņēmējam pienākumu veikt paškontroli, vai projekts attiecībā uz augstākās izglītības iestādes infrastruktūras attīstību atbilst šo noteikumu projekta 42.1. un 42.2.apakšpunktā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projekta īstenošanas laikā un vismaz piecus gadus pēc noslēguma maksājuma saņemšanas tiek pārkāptas šo noteikumu </w:t>
            </w:r>
            <w:r w:rsidR="00000000" w:rsidRPr="00000000" w:rsidDel="00000000">
              <w:rPr>
                <w:rtl w:val="0"/>
              </w:rPr>
              <w:t xml:space="preserve">42. </w:t>
            </w:r>
            <w:r w:rsidR="00000000" w:rsidRPr="00000000" w:rsidDel="00000000">
              <w:rPr>
                <w:rtl w:val="0"/>
              </w:rPr>
              <w:t xml:space="preserve">punktā noteiktās atbalsta piešķiršanas prasības, finansējuma saņēmējam ir pienākums atmaksāt atbalsta sniedzējam visu projekta ietvaros saņemto nelikumīgo atbalstu kopā ar procentiem no līdzekļiem, kas ir brīvi no komercdarbības atbalsta,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43. punktu tā, lai ir skaidrs, ka valsts atbalsta izslēdzošie nosacījumi ir jāievēro visu projekta dzīves ciklu, kas ir ieguldījumu amortizācijas periods. Lūdzam piedāvātās redakcijas piemēru skatīt zemāk.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projekta īstenošanas laikā un vismaz piecus gadus pēc noslēguma maksājuma saņemšanas un projekta dzīves cikla laikā (amortizācijas periodā) tiek pārkāptas šo noteikumu 42. punktā noteiktās atbalsta piešķiršanas prasības vai, ja projekta īstenošanas laikā vai amortizācijas periodā tas kļūst par tādu, kas kvalificējas kā komercdarbības atbalsts, finansējuma saņēmējam ir pienākums atmaksāt atbalsta sniedzējam projekta ietvaros saņemto nelikumīgo komercdarbības atbalstu kopā ar procentiem no līdzekļiem, kas ir brīvi no komercdarbības atbalsta,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22.2. </w:t>
            </w:r>
            <w:r w:rsidR="00000000" w:rsidRPr="00000000" w:rsidDel="00000000">
              <w:rPr>
                <w:rtl w:val="0"/>
              </w:rPr>
              <w:t xml:space="preserve">apakšpunktā minētais finansējuma saņēmējs, šo noteikumu </w:t>
            </w:r>
            <w:r w:rsidR="00000000" w:rsidRPr="00000000" w:rsidDel="00000000">
              <w:rPr>
                <w:rtl w:val="0"/>
              </w:rPr>
              <w:t xml:space="preserve">23.2. </w:t>
            </w:r>
            <w:r w:rsidR="00000000" w:rsidRPr="00000000" w:rsidDel="00000000">
              <w:rPr>
                <w:rtl w:val="0"/>
              </w:rPr>
              <w:t xml:space="preserve">apakšpunktā minētais sadarbības partneris (ja attiecināms) un šo noteikumu </w:t>
            </w:r>
            <w:r w:rsidR="00000000" w:rsidRPr="00000000" w:rsidDel="00000000">
              <w:rPr>
                <w:rtl w:val="0"/>
              </w:rPr>
              <w:t xml:space="preserve">23.1. </w:t>
            </w:r>
            <w:r w:rsidR="00000000" w:rsidRPr="00000000" w:rsidDel="00000000">
              <w:rPr>
                <w:rtl w:val="0"/>
              </w:rPr>
              <w:t xml:space="preserve">apakšpunktā minētie sadarbības partneri, saskaņā ar šo noteikumu </w:t>
            </w:r>
            <w:r w:rsidR="00000000" w:rsidRPr="00000000" w:rsidDel="00000000">
              <w:rPr>
                <w:rtl w:val="0"/>
              </w:rPr>
              <w:t xml:space="preserve">13. </w:t>
            </w:r>
            <w:r w:rsidR="00000000" w:rsidRPr="00000000" w:rsidDel="00000000">
              <w:rPr>
                <w:rtl w:val="0"/>
              </w:rPr>
              <w:t xml:space="preserve">punktu, aprēķina infrastruktūras, kurā sniedz primārās veselības aprūpes pakalpojumus izmantošanas proporciju un piemēro to projekta kopējam finansējumam, nosakot publiskā un privātā finansējuma apmēru, atbilstoši šādam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atbalsta sniegšanu arī attiecībā uz augstākās izglītības iestādes infrastruktūras attīstību, lūdzam precizēt noteikumu projekta 45. punktu, nosakot, ka infrastruktūras, kurā sniedz primārās veselības aprūpes pakalpojumus, izmantošanas proporcijas aprēķinu piemēro, nevis projekta kopējam finansējumam, bet tās projekta daļas finansējumam, kas attiecas uz vispārējas tautsaimnieciskas nozīmes pakalpojumu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lūdzam pēc analoģijas šo aspektu precizēt arī citās noteikuma projekta normās, piemēram, noteikumu projekta 42.2.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 ka </w:t>
            </w:r>
            <w:r w:rsidR="00000000" w:rsidRPr="00000000" w:rsidDel="00000000">
              <w:rPr>
                <w:i w:val="1"/>
                <w:rtl w:val="0"/>
              </w:rPr>
              <w:t xml:space="preserve">projektā neiekļauj darbības, kas ir </w:t>
            </w:r>
            <w:r w:rsidR="00000000" w:rsidRPr="00000000" w:rsidDel="00000000">
              <w:rPr>
                <w:i w:val="1"/>
                <w:u w:val="single"/>
                <w:rtl w:val="0"/>
              </w:rPr>
              <w:t xml:space="preserve">pabeigtas līguma vai vienošanās par projekta īstenošanu noslēgšanas brīdī</w:t>
            </w:r>
            <w:r w:rsidR="00000000" w:rsidRPr="00000000" w:rsidDel="00000000">
              <w:rPr>
                <w:i w:val="1"/>
                <w:rtl w:val="0"/>
              </w:rPr>
              <w:t xml:space="preserve"> (t.i., piemēram, būvdarbi nedrīkst būt nodoti ekspluatācijā)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salāgojot anotācijā ietverto informāciju ar noteikumu projekta 40. punktā minēto, ka projekta iesniegumā neiekļauj un finansējumu nepiešķir darbībām, kas </w:t>
            </w:r>
            <w:r w:rsidR="00000000" w:rsidRPr="00000000" w:rsidDel="00000000">
              <w:rPr>
                <w:u w:val="single"/>
                <w:rtl w:val="0"/>
              </w:rPr>
              <w:t xml:space="preserve">pabeigtas pirms projekta iesnieguma iesniegšanas</w:t>
            </w:r>
            <w:r w:rsidR="00000000" w:rsidRPr="00000000" w:rsidDel="00000000">
              <w:rPr>
                <w:rtl w:val="0"/>
              </w:rPr>
              <w:t xml:space="preserve"> sadarbības iestādē (attiecīgā prasība atbilst arī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63. panta 6. 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attiecībā uz projekta dzīves ciklu, papildinot ar informāciju par projekta dzīves cikla ilgumu un papildinot ar skaidrojumu, ka projekta dzīves cikls ir ieguldījumu amortizācijas periods.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23.01.2025.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23.01.2025.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