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8CE7EF" w14:textId="395AC869" w:rsidR="002353F3" w:rsidRPr="00F23179" w:rsidRDefault="002353F3" w:rsidP="002353F3">
      <w:pPr>
        <w:pStyle w:val="Caption"/>
        <w:rPr>
          <w:sz w:val="36"/>
          <w:szCs w:val="36"/>
        </w:rPr>
      </w:pPr>
      <w:r w:rsidRPr="00F23179">
        <w:rPr>
          <w:sz w:val="36"/>
          <w:szCs w:val="36"/>
        </w:rPr>
        <w:t>SIA „</w:t>
      </w:r>
      <w:r w:rsidR="00403326" w:rsidRPr="00F23179">
        <w:rPr>
          <w:sz w:val="36"/>
          <w:szCs w:val="36"/>
        </w:rPr>
        <w:t>Rīgas namu pārvaldnieks</w:t>
      </w:r>
      <w:r w:rsidRPr="00F23179">
        <w:rPr>
          <w:sz w:val="36"/>
          <w:szCs w:val="36"/>
        </w:rPr>
        <w:t>”</w:t>
      </w:r>
    </w:p>
    <w:p w14:paraId="27AA92AB" w14:textId="4C170339" w:rsidR="002353F3" w:rsidRPr="00F23179" w:rsidRDefault="00562651" w:rsidP="002353F3">
      <w:pPr>
        <w:tabs>
          <w:tab w:val="left" w:pos="3960"/>
        </w:tabs>
        <w:jc w:val="center"/>
        <w:rPr>
          <w:sz w:val="22"/>
          <w:szCs w:val="22"/>
        </w:rPr>
      </w:pPr>
      <w:r w:rsidRPr="00F23179">
        <w:rPr>
          <w:sz w:val="22"/>
          <w:szCs w:val="22"/>
        </w:rPr>
        <w:t>r</w:t>
      </w:r>
      <w:r w:rsidR="002353F3" w:rsidRPr="00F23179">
        <w:rPr>
          <w:sz w:val="22"/>
          <w:szCs w:val="22"/>
        </w:rPr>
        <w:t xml:space="preserve">eģistrācijas Nr.40103362321, </w:t>
      </w:r>
      <w:r w:rsidR="003A3B9E" w:rsidRPr="00F23179">
        <w:rPr>
          <w:sz w:val="22"/>
          <w:szCs w:val="22"/>
        </w:rPr>
        <w:t xml:space="preserve">juridiskā adrese </w:t>
      </w:r>
      <w:r w:rsidR="002353F3" w:rsidRPr="00F23179">
        <w:rPr>
          <w:sz w:val="22"/>
          <w:szCs w:val="22"/>
        </w:rPr>
        <w:t xml:space="preserve">Aleksandra Čaka iela 42, Rīga, LV-1011 </w:t>
      </w:r>
    </w:p>
    <w:p w14:paraId="55C9719A" w14:textId="7CEAEE96" w:rsidR="002353F3" w:rsidRPr="00F23179" w:rsidRDefault="002353F3" w:rsidP="002353F3">
      <w:pPr>
        <w:tabs>
          <w:tab w:val="left" w:pos="3960"/>
        </w:tabs>
        <w:jc w:val="center"/>
        <w:rPr>
          <w:sz w:val="22"/>
          <w:szCs w:val="22"/>
        </w:rPr>
      </w:pPr>
      <w:r w:rsidRPr="00F23179">
        <w:rPr>
          <w:rFonts w:eastAsiaTheme="minorEastAsia"/>
          <w:noProof/>
          <w:sz w:val="22"/>
          <w:szCs w:val="22"/>
          <w:lang w:eastAsia="lv-LV"/>
        </w:rPr>
        <w:t>vienotais informatīvais tālru</w:t>
      </w:r>
      <w:r w:rsidR="00C61905" w:rsidRPr="00F23179">
        <w:rPr>
          <w:rFonts w:eastAsiaTheme="minorEastAsia"/>
          <w:noProof/>
          <w:sz w:val="22"/>
          <w:szCs w:val="22"/>
          <w:lang w:eastAsia="lv-LV"/>
        </w:rPr>
        <w:t>nis</w:t>
      </w:r>
      <w:r w:rsidR="006E4799" w:rsidRPr="00F23179">
        <w:rPr>
          <w:rFonts w:eastAsiaTheme="minorEastAsia"/>
          <w:noProof/>
          <w:sz w:val="22"/>
          <w:szCs w:val="22"/>
          <w:lang w:eastAsia="lv-LV"/>
        </w:rPr>
        <w:t xml:space="preserve"> </w:t>
      </w:r>
      <w:r w:rsidRPr="00F23179">
        <w:rPr>
          <w:rFonts w:eastAsiaTheme="minorEastAsia"/>
          <w:noProof/>
          <w:sz w:val="22"/>
          <w:szCs w:val="22"/>
          <w:lang w:eastAsia="lv-LV"/>
        </w:rPr>
        <w:t>8900</w:t>
      </w:r>
    </w:p>
    <w:p w14:paraId="2C1805BA" w14:textId="1E83EAEA" w:rsidR="002353F3" w:rsidRPr="00F23179" w:rsidRDefault="002353F3" w:rsidP="002353F3">
      <w:pPr>
        <w:tabs>
          <w:tab w:val="left" w:pos="3960"/>
        </w:tabs>
        <w:jc w:val="center"/>
        <w:rPr>
          <w:sz w:val="22"/>
          <w:szCs w:val="22"/>
        </w:rPr>
      </w:pPr>
      <w:r w:rsidRPr="00F23179">
        <w:rPr>
          <w:sz w:val="22"/>
          <w:szCs w:val="22"/>
        </w:rPr>
        <w:t xml:space="preserve">e-pasts: </w:t>
      </w:r>
      <w:hyperlink r:id="rId7" w:history="1">
        <w:r w:rsidRPr="00F23179">
          <w:rPr>
            <w:rStyle w:val="Hyperlink"/>
            <w:sz w:val="22"/>
            <w:szCs w:val="22"/>
          </w:rPr>
          <w:t>rnparvaldnieks@rnparvaldnieks.lv</w:t>
        </w:r>
      </w:hyperlink>
      <w:r w:rsidRPr="00F23179">
        <w:rPr>
          <w:sz w:val="22"/>
          <w:szCs w:val="22"/>
        </w:rPr>
        <w:t xml:space="preserve">, </w:t>
      </w:r>
      <w:r w:rsidR="003A3B9E" w:rsidRPr="00F23179">
        <w:rPr>
          <w:sz w:val="22"/>
          <w:szCs w:val="22"/>
        </w:rPr>
        <w:t xml:space="preserve">mājaslapa: </w:t>
      </w:r>
      <w:hyperlink r:id="rId8" w:history="1">
        <w:r w:rsidR="006518A5" w:rsidRPr="00F23179">
          <w:rPr>
            <w:rStyle w:val="Hyperlink"/>
            <w:sz w:val="22"/>
            <w:szCs w:val="22"/>
          </w:rPr>
          <w:t>www.rnparvaldnieks.lv</w:t>
        </w:r>
      </w:hyperlink>
    </w:p>
    <w:p w14:paraId="30A06FD0" w14:textId="77777777" w:rsidR="002353F3" w:rsidRPr="00F23179" w:rsidRDefault="002353F3" w:rsidP="002353F3">
      <w:pPr>
        <w:jc w:val="both"/>
      </w:pPr>
    </w:p>
    <w:p w14:paraId="15EE3DBB" w14:textId="77777777" w:rsidR="002353F3" w:rsidRPr="00F23179" w:rsidRDefault="002353F3" w:rsidP="002353F3">
      <w:pPr>
        <w:tabs>
          <w:tab w:val="left" w:pos="1440"/>
          <w:tab w:val="center" w:pos="4629"/>
        </w:tabs>
        <w:spacing w:after="280"/>
        <w:jc w:val="center"/>
      </w:pPr>
      <w:r w:rsidRPr="00F23179">
        <w:t>Rīgā</w:t>
      </w:r>
    </w:p>
    <w:tbl>
      <w:tblPr>
        <w:tblW w:w="4788" w:type="dxa"/>
        <w:tblCellMar>
          <w:left w:w="10" w:type="dxa"/>
          <w:right w:w="10" w:type="dxa"/>
        </w:tblCellMar>
        <w:tblLook w:val="04A0" w:firstRow="1" w:lastRow="0" w:firstColumn="1" w:lastColumn="0" w:noHBand="0" w:noVBand="1"/>
      </w:tblPr>
      <w:tblGrid>
        <w:gridCol w:w="520"/>
        <w:gridCol w:w="1568"/>
        <w:gridCol w:w="556"/>
        <w:gridCol w:w="2144"/>
      </w:tblGrid>
      <w:tr w:rsidR="008F76A8" w:rsidRPr="00F23179" w14:paraId="565C0E6A" w14:textId="77777777" w:rsidTr="008F76A8">
        <w:tc>
          <w:tcPr>
            <w:tcW w:w="520" w:type="dxa"/>
            <w:tcMar>
              <w:top w:w="0" w:type="dxa"/>
              <w:left w:w="108" w:type="dxa"/>
              <w:bottom w:w="0" w:type="dxa"/>
              <w:right w:w="108" w:type="dxa"/>
            </w:tcMar>
          </w:tcPr>
          <w:p w14:paraId="0EFF39BC" w14:textId="77777777" w:rsidR="008F76A8" w:rsidRPr="00F23179" w:rsidRDefault="008F76A8">
            <w:pPr>
              <w:tabs>
                <w:tab w:val="left" w:pos="360"/>
                <w:tab w:val="left" w:pos="3960"/>
              </w:tabs>
              <w:jc w:val="both"/>
            </w:pPr>
          </w:p>
        </w:tc>
        <w:bookmarkStart w:id="0" w:name="reg_dat"/>
        <w:tc>
          <w:tcPr>
            <w:tcW w:w="1568" w:type="dxa"/>
            <w:tcBorders>
              <w:top w:val="nil"/>
              <w:left w:val="nil"/>
              <w:bottom w:val="single" w:sz="4" w:space="0" w:color="000000"/>
              <w:right w:val="nil"/>
            </w:tcBorders>
            <w:tcMar>
              <w:top w:w="0" w:type="dxa"/>
              <w:left w:w="108" w:type="dxa"/>
              <w:bottom w:w="0" w:type="dxa"/>
              <w:right w:w="108" w:type="dxa"/>
            </w:tcMar>
          </w:tcPr>
          <w:p w14:paraId="7056AAA6" w14:textId="032D50A6" w:rsidR="008F76A8" w:rsidRPr="00F23179" w:rsidRDefault="006148C1">
            <w:pPr>
              <w:tabs>
                <w:tab w:val="left" w:pos="360"/>
                <w:tab w:val="left" w:pos="3960"/>
              </w:tabs>
            </w:pPr>
            <w:r w:rsidRPr="00F23179">
              <w:fldChar w:fldCharType="begin">
                <w:ffData>
                  <w:name w:val="reg_dat"/>
                  <w:enabled/>
                  <w:calcOnExit w:val="0"/>
                  <w:textInput>
                    <w:default w:val="                      "/>
                  </w:textInput>
                </w:ffData>
              </w:fldChar>
            </w:r>
            <w:r w:rsidRPr="00F23179">
              <w:instrText xml:space="preserve"> FORMTEXT </w:instrText>
            </w:r>
            <w:r w:rsidRPr="00F23179">
              <w:fldChar w:fldCharType="separate"/>
            </w:r>
            <w:r w:rsidR="00C51A51">
              <w:t>08.07.2022</w:t>
            </w:r>
            <w:r w:rsidRPr="00F23179">
              <w:fldChar w:fldCharType="end"/>
            </w:r>
            <w:bookmarkEnd w:id="0"/>
          </w:p>
        </w:tc>
        <w:tc>
          <w:tcPr>
            <w:tcW w:w="556" w:type="dxa"/>
            <w:tcMar>
              <w:top w:w="0" w:type="dxa"/>
              <w:left w:w="108" w:type="dxa"/>
              <w:bottom w:w="0" w:type="dxa"/>
              <w:right w:w="108" w:type="dxa"/>
            </w:tcMar>
            <w:hideMark/>
          </w:tcPr>
          <w:p w14:paraId="47DD9BD7" w14:textId="77777777" w:rsidR="008F76A8" w:rsidRPr="00F23179" w:rsidRDefault="008F76A8">
            <w:pPr>
              <w:tabs>
                <w:tab w:val="left" w:pos="360"/>
                <w:tab w:val="left" w:pos="3960"/>
              </w:tabs>
              <w:jc w:val="both"/>
            </w:pPr>
            <w:r w:rsidRPr="00F23179">
              <w:t>Nr.</w:t>
            </w:r>
          </w:p>
        </w:tc>
        <w:tc>
          <w:tcPr>
            <w:tcW w:w="2144" w:type="dxa"/>
            <w:tcBorders>
              <w:top w:val="nil"/>
              <w:left w:val="nil"/>
              <w:bottom w:val="single" w:sz="4" w:space="0" w:color="000000"/>
              <w:right w:val="nil"/>
            </w:tcBorders>
            <w:tcMar>
              <w:top w:w="0" w:type="dxa"/>
              <w:left w:w="108" w:type="dxa"/>
              <w:bottom w:w="0" w:type="dxa"/>
              <w:right w:w="108" w:type="dxa"/>
            </w:tcMar>
          </w:tcPr>
          <w:p w14:paraId="1BB05290" w14:textId="67128C39" w:rsidR="008F76A8" w:rsidRPr="00F23179" w:rsidRDefault="00397F27">
            <w:pPr>
              <w:tabs>
                <w:tab w:val="left" w:pos="360"/>
                <w:tab w:val="left" w:pos="3960"/>
              </w:tabs>
            </w:pPr>
            <w:r w:rsidRPr="00F23179">
              <w:t>1-2e</w:t>
            </w:r>
            <w:r w:rsidR="00A22F1A" w:rsidRPr="00F23179">
              <w:t>/</w:t>
            </w:r>
            <w:bookmarkStart w:id="1" w:name="reg_num"/>
            <w:r w:rsidR="006148C1" w:rsidRPr="00F23179">
              <w:fldChar w:fldCharType="begin">
                <w:ffData>
                  <w:name w:val="reg_num"/>
                  <w:enabled/>
                  <w:calcOnExit w:val="0"/>
                  <w:textInput>
                    <w:default w:val="                   "/>
                  </w:textInput>
                </w:ffData>
              </w:fldChar>
            </w:r>
            <w:r w:rsidR="006148C1" w:rsidRPr="00F23179">
              <w:instrText xml:space="preserve"> FORMTEXT </w:instrText>
            </w:r>
            <w:r w:rsidR="006148C1" w:rsidRPr="00F23179">
              <w:fldChar w:fldCharType="separate"/>
            </w:r>
            <w:r w:rsidR="00C51A51">
              <w:t>28438</w:t>
            </w:r>
            <w:r w:rsidR="006148C1" w:rsidRPr="00F23179">
              <w:fldChar w:fldCharType="end"/>
            </w:r>
            <w:bookmarkEnd w:id="1"/>
          </w:p>
        </w:tc>
      </w:tr>
      <w:tr w:rsidR="008F76A8" w:rsidRPr="00F23179" w14:paraId="14FDE219" w14:textId="77777777" w:rsidTr="008F76A8">
        <w:tc>
          <w:tcPr>
            <w:tcW w:w="520" w:type="dxa"/>
            <w:tcMar>
              <w:top w:w="0" w:type="dxa"/>
              <w:left w:w="108" w:type="dxa"/>
              <w:bottom w:w="0" w:type="dxa"/>
              <w:right w:w="108" w:type="dxa"/>
            </w:tcMar>
          </w:tcPr>
          <w:p w14:paraId="24A1E9E0" w14:textId="77777777" w:rsidR="008F76A8" w:rsidRPr="00F23179" w:rsidRDefault="008F76A8">
            <w:pPr>
              <w:tabs>
                <w:tab w:val="left" w:pos="360"/>
                <w:tab w:val="left" w:pos="3960"/>
              </w:tabs>
            </w:pPr>
          </w:p>
        </w:tc>
        <w:tc>
          <w:tcPr>
            <w:tcW w:w="1568" w:type="dxa"/>
            <w:tcBorders>
              <w:top w:val="single" w:sz="4" w:space="0" w:color="000000"/>
              <w:left w:val="nil"/>
              <w:bottom w:val="nil"/>
              <w:right w:val="nil"/>
            </w:tcBorders>
            <w:tcMar>
              <w:top w:w="0" w:type="dxa"/>
              <w:left w:w="108" w:type="dxa"/>
              <w:bottom w:w="0" w:type="dxa"/>
              <w:right w:w="108" w:type="dxa"/>
            </w:tcMar>
          </w:tcPr>
          <w:p w14:paraId="72960965" w14:textId="77777777" w:rsidR="008F76A8" w:rsidRPr="00F23179" w:rsidRDefault="008F76A8">
            <w:pPr>
              <w:tabs>
                <w:tab w:val="left" w:pos="360"/>
                <w:tab w:val="left" w:pos="3960"/>
              </w:tabs>
            </w:pPr>
          </w:p>
        </w:tc>
        <w:tc>
          <w:tcPr>
            <w:tcW w:w="556" w:type="dxa"/>
            <w:tcMar>
              <w:top w:w="0" w:type="dxa"/>
              <w:left w:w="108" w:type="dxa"/>
              <w:bottom w:w="0" w:type="dxa"/>
              <w:right w:w="108" w:type="dxa"/>
            </w:tcMar>
          </w:tcPr>
          <w:p w14:paraId="00F34B6D" w14:textId="77777777" w:rsidR="008F76A8" w:rsidRPr="00F23179" w:rsidRDefault="008F76A8">
            <w:pPr>
              <w:tabs>
                <w:tab w:val="left" w:pos="360"/>
                <w:tab w:val="left" w:pos="3960"/>
              </w:tabs>
            </w:pPr>
          </w:p>
        </w:tc>
        <w:tc>
          <w:tcPr>
            <w:tcW w:w="2144" w:type="dxa"/>
            <w:tcBorders>
              <w:top w:val="single" w:sz="4" w:space="0" w:color="000000"/>
              <w:left w:val="nil"/>
              <w:bottom w:val="nil"/>
              <w:right w:val="nil"/>
            </w:tcBorders>
            <w:tcMar>
              <w:top w:w="0" w:type="dxa"/>
              <w:left w:w="108" w:type="dxa"/>
              <w:bottom w:w="0" w:type="dxa"/>
              <w:right w:w="108" w:type="dxa"/>
            </w:tcMar>
          </w:tcPr>
          <w:p w14:paraId="10A13F16" w14:textId="77777777" w:rsidR="008F76A8" w:rsidRPr="00F23179" w:rsidRDefault="008F76A8">
            <w:pPr>
              <w:tabs>
                <w:tab w:val="left" w:pos="360"/>
                <w:tab w:val="left" w:pos="3960"/>
              </w:tabs>
            </w:pPr>
          </w:p>
        </w:tc>
      </w:tr>
      <w:tr w:rsidR="008F76A8" w:rsidRPr="00F23179" w14:paraId="6ADEA798" w14:textId="77777777" w:rsidTr="008F76A8">
        <w:tc>
          <w:tcPr>
            <w:tcW w:w="520" w:type="dxa"/>
            <w:tcMar>
              <w:top w:w="0" w:type="dxa"/>
              <w:left w:w="108" w:type="dxa"/>
              <w:bottom w:w="0" w:type="dxa"/>
              <w:right w:w="108" w:type="dxa"/>
            </w:tcMar>
            <w:hideMark/>
          </w:tcPr>
          <w:p w14:paraId="6AD79369" w14:textId="77777777" w:rsidR="008F76A8" w:rsidRPr="00F23179" w:rsidRDefault="008F76A8">
            <w:pPr>
              <w:tabs>
                <w:tab w:val="left" w:pos="360"/>
                <w:tab w:val="left" w:pos="3960"/>
              </w:tabs>
            </w:pPr>
            <w:r w:rsidRPr="00F23179">
              <w:t>Uz</w:t>
            </w:r>
          </w:p>
        </w:tc>
        <w:tc>
          <w:tcPr>
            <w:tcW w:w="1568" w:type="dxa"/>
            <w:tcBorders>
              <w:top w:val="nil"/>
              <w:left w:val="nil"/>
              <w:bottom w:val="single" w:sz="4" w:space="0" w:color="000000"/>
              <w:right w:val="nil"/>
            </w:tcBorders>
            <w:tcMar>
              <w:top w:w="0" w:type="dxa"/>
              <w:left w:w="108" w:type="dxa"/>
              <w:bottom w:w="0" w:type="dxa"/>
              <w:right w:w="108" w:type="dxa"/>
            </w:tcMar>
          </w:tcPr>
          <w:p w14:paraId="6B3F1FC9" w14:textId="77777777" w:rsidR="008F76A8" w:rsidRPr="00F23179" w:rsidRDefault="008F76A8">
            <w:pPr>
              <w:tabs>
                <w:tab w:val="left" w:pos="360"/>
                <w:tab w:val="left" w:pos="3960"/>
              </w:tabs>
            </w:pPr>
          </w:p>
        </w:tc>
        <w:tc>
          <w:tcPr>
            <w:tcW w:w="556" w:type="dxa"/>
            <w:tcMar>
              <w:top w:w="0" w:type="dxa"/>
              <w:left w:w="108" w:type="dxa"/>
              <w:bottom w:w="0" w:type="dxa"/>
              <w:right w:w="108" w:type="dxa"/>
            </w:tcMar>
            <w:hideMark/>
          </w:tcPr>
          <w:p w14:paraId="6FB3552F" w14:textId="77777777" w:rsidR="008F76A8" w:rsidRPr="00F23179" w:rsidRDefault="008F76A8">
            <w:pPr>
              <w:tabs>
                <w:tab w:val="left" w:pos="360"/>
                <w:tab w:val="left" w:pos="3960"/>
              </w:tabs>
            </w:pPr>
            <w:r w:rsidRPr="00F23179">
              <w:t>Nr.</w:t>
            </w:r>
          </w:p>
        </w:tc>
        <w:tc>
          <w:tcPr>
            <w:tcW w:w="2144" w:type="dxa"/>
            <w:tcBorders>
              <w:top w:val="nil"/>
              <w:left w:val="nil"/>
              <w:bottom w:val="single" w:sz="4" w:space="0" w:color="000000"/>
              <w:right w:val="nil"/>
            </w:tcBorders>
            <w:tcMar>
              <w:top w:w="0" w:type="dxa"/>
              <w:left w:w="108" w:type="dxa"/>
              <w:bottom w:w="0" w:type="dxa"/>
              <w:right w:w="108" w:type="dxa"/>
            </w:tcMar>
          </w:tcPr>
          <w:p w14:paraId="4DD7CCF5" w14:textId="77777777" w:rsidR="008F76A8" w:rsidRPr="00F23179" w:rsidRDefault="008F76A8">
            <w:pPr>
              <w:tabs>
                <w:tab w:val="left" w:pos="360"/>
                <w:tab w:val="left" w:pos="3960"/>
              </w:tabs>
            </w:pPr>
          </w:p>
        </w:tc>
      </w:tr>
    </w:tbl>
    <w:p w14:paraId="7AD07531" w14:textId="77777777" w:rsidR="008F76A8" w:rsidRPr="00F23179" w:rsidRDefault="008F76A8" w:rsidP="008F76A8"/>
    <w:p w14:paraId="7AD470DB" w14:textId="65359F2E" w:rsidR="00173687" w:rsidRPr="00F23179" w:rsidRDefault="00173687" w:rsidP="008F76A8"/>
    <w:p w14:paraId="1A40CE61" w14:textId="77777777" w:rsidR="00E166AF" w:rsidRDefault="00E166AF" w:rsidP="00E166AF">
      <w:pPr>
        <w:jc w:val="right"/>
        <w:rPr>
          <w:b/>
        </w:rPr>
      </w:pPr>
      <w:r>
        <w:rPr>
          <w:b/>
        </w:rPr>
        <w:t>Ekonomikas ministrijai</w:t>
      </w:r>
    </w:p>
    <w:p w14:paraId="433A18A2" w14:textId="77777777" w:rsidR="00E166AF" w:rsidRDefault="00010585" w:rsidP="00E166AF">
      <w:pPr>
        <w:jc w:val="right"/>
      </w:pPr>
      <w:hyperlink r:id="rId9" w:history="1">
        <w:r w:rsidR="00E166AF" w:rsidRPr="00703A52">
          <w:rPr>
            <w:rStyle w:val="Hyperlink"/>
          </w:rPr>
          <w:t>pasts@em.gov.lv</w:t>
        </w:r>
      </w:hyperlink>
    </w:p>
    <w:p w14:paraId="343DC63F" w14:textId="40EB3E0C" w:rsidR="00604BC2" w:rsidRPr="00F23179" w:rsidRDefault="00604BC2" w:rsidP="00604BC2"/>
    <w:p w14:paraId="42D07C3A" w14:textId="77777777" w:rsidR="00E166AF" w:rsidRPr="00E166AF" w:rsidRDefault="00F23179" w:rsidP="00604BC2">
      <w:pPr>
        <w:rPr>
          <w:i/>
        </w:rPr>
      </w:pPr>
      <w:r w:rsidRPr="00E166AF">
        <w:rPr>
          <w:i/>
        </w:rPr>
        <w:t xml:space="preserve">Par </w:t>
      </w:r>
      <w:r w:rsidR="00E166AF" w:rsidRPr="00E166AF">
        <w:rPr>
          <w:i/>
        </w:rPr>
        <w:t xml:space="preserve">grozījumiem Ministru kabineta </w:t>
      </w:r>
    </w:p>
    <w:p w14:paraId="47818186" w14:textId="77777777" w:rsidR="00E166AF" w:rsidRPr="00E166AF" w:rsidRDefault="00E166AF" w:rsidP="00604BC2">
      <w:pPr>
        <w:rPr>
          <w:i/>
        </w:rPr>
      </w:pPr>
      <w:r w:rsidRPr="00E166AF">
        <w:rPr>
          <w:i/>
        </w:rPr>
        <w:t>2008. gada 21. oktobra noteikumos Nr. 876</w:t>
      </w:r>
    </w:p>
    <w:p w14:paraId="30E7ACCD" w14:textId="5AB80F14" w:rsidR="00F23179" w:rsidRPr="00E166AF" w:rsidRDefault="00E166AF" w:rsidP="00604BC2">
      <w:pPr>
        <w:rPr>
          <w:i/>
        </w:rPr>
      </w:pPr>
      <w:r w:rsidRPr="00E166AF">
        <w:rPr>
          <w:i/>
        </w:rPr>
        <w:t>"Siltumenerģijas piegādes un lietošanas noteikumi"</w:t>
      </w:r>
    </w:p>
    <w:p w14:paraId="347B103F" w14:textId="77777777" w:rsidR="00F23179" w:rsidRPr="00F23179" w:rsidRDefault="00F23179" w:rsidP="00604BC2">
      <w:pPr>
        <w:rPr>
          <w:i/>
        </w:rPr>
      </w:pPr>
    </w:p>
    <w:p w14:paraId="5C35EC4D" w14:textId="468A8F7F" w:rsidR="00E166AF" w:rsidRDefault="00E166AF" w:rsidP="00E166AF">
      <w:pPr>
        <w:ind w:firstLine="720"/>
        <w:jc w:val="both"/>
        <w:rPr>
          <w:lang w:eastAsia="lv-LV"/>
        </w:rPr>
      </w:pPr>
      <w:r>
        <w:t>SIA “Rīgas namu pārvaldnieks” (turpmāk – Sabiedrība) izskatījusi Ministru kabineta 2008. gada 21. oktobra noteikumu Nr. 876 "Siltumenerģijas piegādes un lietošanas noteikumi" (turpmāk – Noteikumi) aktuālo grozījumu projektu</w:t>
      </w:r>
      <w:r>
        <w:rPr>
          <w:rStyle w:val="FootnoteReference"/>
        </w:rPr>
        <w:footnoteReference w:id="1"/>
      </w:r>
      <w:r>
        <w:t xml:space="preserve"> un sniedz savu viedokli.</w:t>
      </w:r>
    </w:p>
    <w:p w14:paraId="1BB7237D" w14:textId="4CAFE456" w:rsidR="00E166AF" w:rsidRDefault="00E166AF" w:rsidP="00E166AF">
      <w:pPr>
        <w:ind w:firstLine="720"/>
        <w:jc w:val="both"/>
      </w:pPr>
      <w:r>
        <w:t xml:space="preserve">1. Šobrīd grozījumu projektā ietvertais Noteikumu </w:t>
      </w:r>
      <w:r>
        <w:rPr>
          <w:color w:val="000000"/>
          <w:shd w:val="clear" w:color="auto" w:fill="FFFFFF"/>
        </w:rPr>
        <w:t>27.</w:t>
      </w:r>
      <w:r>
        <w:rPr>
          <w:color w:val="000000"/>
          <w:shd w:val="clear" w:color="auto" w:fill="FFFFFF"/>
          <w:vertAlign w:val="superscript"/>
        </w:rPr>
        <w:t xml:space="preserve">1 </w:t>
      </w:r>
      <w:r>
        <w:rPr>
          <w:color w:val="000000"/>
          <w:shd w:val="clear" w:color="auto" w:fill="FFFFFF"/>
        </w:rPr>
        <w:t>pants paredz:</w:t>
      </w:r>
    </w:p>
    <w:p w14:paraId="5BD9255C" w14:textId="77777777" w:rsidR="00E166AF" w:rsidRDefault="00E166AF" w:rsidP="00E166AF">
      <w:pPr>
        <w:ind w:firstLine="720"/>
        <w:jc w:val="both"/>
        <w:rPr>
          <w:i/>
          <w:iCs/>
        </w:rPr>
      </w:pPr>
      <w:r>
        <w:rPr>
          <w:i/>
          <w:iCs/>
          <w:color w:val="000000"/>
          <w:shd w:val="clear" w:color="auto" w:fill="FFFFFF"/>
        </w:rPr>
        <w:t>“27.</w:t>
      </w:r>
      <w:r>
        <w:rPr>
          <w:i/>
          <w:iCs/>
          <w:color w:val="000000"/>
          <w:shd w:val="clear" w:color="auto" w:fill="FFFFFF"/>
          <w:vertAlign w:val="superscript"/>
        </w:rPr>
        <w:t>1</w:t>
      </w:r>
      <w:r>
        <w:rPr>
          <w:i/>
          <w:iCs/>
        </w:rPr>
        <w:t xml:space="preserve"> Piegādātājs, kura trīs gadu vidējais lietotājiem piegādātās siltumenerģijas apjoms pārsniedz 2 000 000 megavatstundas gadā, </w:t>
      </w:r>
      <w:r>
        <w:rPr>
          <w:i/>
          <w:iCs/>
          <w:u w:val="single"/>
        </w:rPr>
        <w:t>slēdz līgumu</w:t>
      </w:r>
      <w:r>
        <w:rPr>
          <w:i/>
          <w:iCs/>
        </w:rPr>
        <w:t xml:space="preserve"> ar daudzdzīvokļu ēkas dzīvokļu īpašnieku kopības pilnvaroto personu par siltumenerģijas piegādes nodrošināšanu daudzdzīvokļu ēkai no 1.oktobra, ja norēķini par siltumenerģiju ir veikti vismaz 80% apmērā no daudzdzīvokļu ēkas dzīvokļu īpašnieku kopībai norēķinu periodā izrakstītajiem rēķiniem, kā arī ir uzsākts aktīvs parādu piedziņas process, kas ietver:</w:t>
      </w:r>
    </w:p>
    <w:p w14:paraId="347B280B" w14:textId="77777777" w:rsidR="00E166AF" w:rsidRDefault="00E166AF" w:rsidP="00E166AF">
      <w:pPr>
        <w:shd w:val="clear" w:color="auto" w:fill="FFFFFF"/>
        <w:ind w:firstLine="720"/>
        <w:jc w:val="both"/>
        <w:rPr>
          <w:i/>
          <w:iCs/>
        </w:rPr>
      </w:pPr>
      <w:r>
        <w:rPr>
          <w:i/>
          <w:iCs/>
          <w:color w:val="000000"/>
        </w:rPr>
        <w:t>27.</w:t>
      </w:r>
      <w:r>
        <w:rPr>
          <w:i/>
          <w:iCs/>
          <w:color w:val="000000"/>
          <w:vertAlign w:val="superscript"/>
        </w:rPr>
        <w:t>1</w:t>
      </w:r>
      <w:r>
        <w:rPr>
          <w:i/>
          <w:iCs/>
          <w:color w:val="000000"/>
        </w:rPr>
        <w:t>1. paziņojumu par parāda esamību nosūtīšanu dzīvokļa, nedzīvojamās telpas vai mākslinieka darbnīcas īpašniekam;</w:t>
      </w:r>
    </w:p>
    <w:p w14:paraId="73BBFDDE" w14:textId="77777777" w:rsidR="00E166AF" w:rsidRDefault="00E166AF" w:rsidP="00E166AF">
      <w:pPr>
        <w:shd w:val="clear" w:color="auto" w:fill="FFFFFF"/>
        <w:ind w:firstLine="720"/>
        <w:jc w:val="both"/>
        <w:rPr>
          <w:i/>
          <w:iCs/>
        </w:rPr>
      </w:pPr>
      <w:r>
        <w:rPr>
          <w:i/>
          <w:iCs/>
          <w:color w:val="000000"/>
        </w:rPr>
        <w:t>27.</w:t>
      </w:r>
      <w:r>
        <w:rPr>
          <w:i/>
          <w:iCs/>
          <w:color w:val="000000"/>
          <w:vertAlign w:val="superscript"/>
        </w:rPr>
        <w:t>1</w:t>
      </w:r>
      <w:r>
        <w:rPr>
          <w:i/>
          <w:iCs/>
          <w:color w:val="000000"/>
        </w:rPr>
        <w:t>2. pašvaldības informēšanu par parāda esamību;</w:t>
      </w:r>
    </w:p>
    <w:p w14:paraId="0E071F9E" w14:textId="77777777" w:rsidR="00E166AF" w:rsidRDefault="00E166AF" w:rsidP="00E166AF">
      <w:pPr>
        <w:shd w:val="clear" w:color="auto" w:fill="FFFFFF"/>
        <w:ind w:firstLine="720"/>
        <w:jc w:val="both"/>
        <w:rPr>
          <w:i/>
          <w:iCs/>
        </w:rPr>
      </w:pPr>
      <w:r>
        <w:rPr>
          <w:i/>
          <w:iCs/>
          <w:color w:val="000000"/>
        </w:rPr>
        <w:t>27.</w:t>
      </w:r>
      <w:r>
        <w:rPr>
          <w:i/>
          <w:iCs/>
          <w:color w:val="000000"/>
          <w:vertAlign w:val="superscript"/>
        </w:rPr>
        <w:t>1</w:t>
      </w:r>
      <w:r>
        <w:rPr>
          <w:i/>
          <w:iCs/>
          <w:color w:val="000000"/>
        </w:rPr>
        <w:t>3. sociālā dienesta sniegtās palīdzības novirzīšanu komunālo maksājumu segšanai;</w:t>
      </w:r>
    </w:p>
    <w:p w14:paraId="4254AE84" w14:textId="77777777" w:rsidR="00E166AF" w:rsidRDefault="00E166AF" w:rsidP="00E166AF">
      <w:pPr>
        <w:shd w:val="clear" w:color="auto" w:fill="FFFFFF"/>
        <w:ind w:firstLine="720"/>
        <w:jc w:val="both"/>
        <w:rPr>
          <w:i/>
          <w:iCs/>
        </w:rPr>
      </w:pPr>
      <w:r>
        <w:rPr>
          <w:i/>
          <w:iCs/>
          <w:color w:val="000000"/>
        </w:rPr>
        <w:t>27.</w:t>
      </w:r>
      <w:r>
        <w:rPr>
          <w:i/>
          <w:iCs/>
          <w:color w:val="000000"/>
          <w:vertAlign w:val="superscript"/>
        </w:rPr>
        <w:t>1</w:t>
      </w:r>
      <w:r>
        <w:rPr>
          <w:i/>
          <w:iCs/>
          <w:color w:val="000000"/>
        </w:rPr>
        <w:t>4. parāda piedziņas pieteikuma iesniegšanu tiesā.”</w:t>
      </w:r>
    </w:p>
    <w:p w14:paraId="45B7C7AF" w14:textId="77777777" w:rsidR="00E166AF" w:rsidRDefault="00E166AF" w:rsidP="00E166AF">
      <w:pPr>
        <w:shd w:val="clear" w:color="auto" w:fill="FFFFFF"/>
        <w:ind w:firstLine="720"/>
        <w:jc w:val="both"/>
      </w:pPr>
      <w:r>
        <w:rPr>
          <w:color w:val="000000"/>
        </w:rPr>
        <w:t>Savukārt grozījumu anotācijā norādīts:</w:t>
      </w:r>
    </w:p>
    <w:p w14:paraId="36745439" w14:textId="77777777" w:rsidR="00E166AF" w:rsidRDefault="00E166AF" w:rsidP="00E166AF">
      <w:pPr>
        <w:shd w:val="clear" w:color="auto" w:fill="FFFFFF"/>
        <w:ind w:firstLine="720"/>
        <w:jc w:val="both"/>
        <w:rPr>
          <w:i/>
          <w:iCs/>
        </w:rPr>
      </w:pPr>
      <w:r>
        <w:rPr>
          <w:i/>
          <w:iCs/>
          <w:color w:val="000000"/>
        </w:rPr>
        <w:t>“</w:t>
      </w:r>
      <w:r>
        <w:rPr>
          <w:i/>
          <w:iCs/>
          <w:color w:val="000000"/>
          <w:shd w:val="clear" w:color="auto" w:fill="FFFFFF"/>
        </w:rPr>
        <w:t xml:space="preserve">Noteikumu projektā </w:t>
      </w:r>
      <w:r>
        <w:rPr>
          <w:i/>
          <w:iCs/>
          <w:color w:val="000000"/>
          <w:u w:val="single"/>
          <w:shd w:val="clear" w:color="auto" w:fill="FFFFFF"/>
        </w:rPr>
        <w:t>iekļauta iespēja piegādātājam</w:t>
      </w:r>
      <w:r>
        <w:rPr>
          <w:i/>
          <w:iCs/>
          <w:color w:val="000000"/>
          <w:shd w:val="clear" w:color="auto" w:fill="FFFFFF"/>
        </w:rPr>
        <w:t xml:space="preserve">, kura piegādātās siltumenerģijas apjoms pārsniedz 2 000 000 megavatstundas gadā, </w:t>
      </w:r>
      <w:r>
        <w:rPr>
          <w:i/>
          <w:iCs/>
          <w:color w:val="000000"/>
          <w:u w:val="single"/>
          <w:shd w:val="clear" w:color="auto" w:fill="FFFFFF"/>
        </w:rPr>
        <w:t>slēgt līgumu</w:t>
      </w:r>
      <w:r>
        <w:rPr>
          <w:i/>
          <w:iCs/>
          <w:color w:val="000000"/>
          <w:shd w:val="clear" w:color="auto" w:fill="FFFFFF"/>
        </w:rPr>
        <w:t xml:space="preserve"> ar daudzdzīvokļu ēkas dzīvokļu īpašnieku kopību par siltumenerģijas piegādes nodrošināšanu daudzdzīvokļu ēkai no 1.oktobra arī tajos gadījumos, ja dzīvokļu īpašnieku kopība nav pilnībā norēķinājusies par piegādāto siltumenerģiju iepriekšējā norēķinu periodā. Lai turpinātu šādas ēkas nodrošināšanu ar siltumenerģiju, dzīvokļu īpašnieku kopībai ir jāpanāk parāda summas stabilizāciju, kā arī jāveic visi iespējamie pasākumi līdz pat parāda piedziņas pieteikuma iesniegšanu tiesā, lai norēķins par piegādāto siltumenerģiju tiku veikts pilnībā. Daļa no šiem pasākumiem ir iekļauti Noteikumu projekta 27.</w:t>
      </w:r>
      <w:r>
        <w:rPr>
          <w:i/>
          <w:iCs/>
          <w:color w:val="000000"/>
          <w:vertAlign w:val="superscript"/>
        </w:rPr>
        <w:t>1</w:t>
      </w:r>
      <w:r>
        <w:rPr>
          <w:i/>
          <w:iCs/>
          <w:color w:val="000000"/>
        </w:rPr>
        <w:t>punkta apakšpunktos. Nosacījums, ka norēķiniem par siltumenerģiju ir jābūt veiktiem vismaz 80% no daudzdzīvokļu ēkas dzīvokļu īpašnieku kopībai norēķinu periodā izrakstītajiem rēķiniem, ir kompromisa risinājums, kas panākts diskusiju ceļā ar siltumapgādes uzņēmumiem un ēku pārvaldniekiem.”</w:t>
      </w:r>
    </w:p>
    <w:p w14:paraId="27CFEBC5" w14:textId="7D5B1F28" w:rsidR="00E166AF" w:rsidRDefault="00E166AF" w:rsidP="00E166AF">
      <w:pPr>
        <w:shd w:val="clear" w:color="auto" w:fill="FFFFFF"/>
        <w:ind w:firstLine="720"/>
        <w:jc w:val="both"/>
        <w:rPr>
          <w:b/>
          <w:bCs/>
        </w:rPr>
      </w:pPr>
      <w:r>
        <w:rPr>
          <w:color w:val="000000"/>
        </w:rPr>
        <w:t xml:space="preserve">Norādāms, ka Ekonomikas ministrijas iepriekš piedāvātā un Sabiedrības atbalstītā grozījumu redakcija paredzēja, ka līdz noteiktam parāda apmēram (procentos) piegādātājam ir pienākums piegādāt siltumenerģiju daudzdzīvokļu mājai, tādējādi precizējot Noteikumu </w:t>
      </w:r>
      <w:r>
        <w:rPr>
          <w:color w:val="000000"/>
        </w:rPr>
        <w:lastRenderedPageBreak/>
        <w:t xml:space="preserve">26.4.apakšpunktā noteikto, ka piegādātājam ir tiesības pārtraukt siltumenerģijas piegādi lietotājam, ja lietotājs noteiktajos termiņos neveic norēķinus atbilstoši līguma nosacījumiem (Noteikumu 26.4.apakšpunkts pieļauj pakalpojuma sniegšanas pārtraukšanu  jebkāda parāda apmēra gadījumā). Šobrīd jaunā </w:t>
      </w:r>
      <w:r>
        <w:rPr>
          <w:color w:val="000000"/>
          <w:shd w:val="clear" w:color="auto" w:fill="FFFFFF"/>
        </w:rPr>
        <w:t>27.</w:t>
      </w:r>
      <w:r>
        <w:rPr>
          <w:color w:val="000000"/>
          <w:shd w:val="clear" w:color="auto" w:fill="FFFFFF"/>
          <w:vertAlign w:val="superscript"/>
        </w:rPr>
        <w:t xml:space="preserve">1 </w:t>
      </w:r>
      <w:r>
        <w:rPr>
          <w:color w:val="000000"/>
          <w:shd w:val="clear" w:color="auto" w:fill="FFFFFF"/>
        </w:rPr>
        <w:t>panta redakcija kopsakarā ar anotācijā norādīto ir neskaidra, nav saprotams, vai tā precizē Noteikumu 26.4.apakšpunktu, līdz ar to tā nenodrošina aizsardzību dzīvokļu īpašnieku kopībām, ka piegādātājs nepārtrauks siltumenerģijas piegādi nebūtisku parādu gadījumā.</w:t>
      </w:r>
      <w:r>
        <w:rPr>
          <w:b/>
          <w:bCs/>
          <w:color w:val="000000"/>
          <w:shd w:val="clear" w:color="auto" w:fill="FFFFFF"/>
        </w:rPr>
        <w:t xml:space="preserve"> Sabiedrības ieskatā,</w:t>
      </w:r>
      <w:r>
        <w:rPr>
          <w:color w:val="000000"/>
          <w:shd w:val="clear" w:color="auto" w:fill="FFFFFF"/>
        </w:rPr>
        <w:t xml:space="preserve"> </w:t>
      </w:r>
      <w:r>
        <w:rPr>
          <w:b/>
          <w:bCs/>
          <w:color w:val="000000"/>
        </w:rPr>
        <w:t xml:space="preserve">Noteikumu </w:t>
      </w:r>
      <w:r>
        <w:rPr>
          <w:b/>
          <w:bCs/>
          <w:color w:val="000000"/>
          <w:shd w:val="clear" w:color="auto" w:fill="FFFFFF"/>
        </w:rPr>
        <w:t>27.</w:t>
      </w:r>
      <w:r>
        <w:rPr>
          <w:b/>
          <w:bCs/>
          <w:color w:val="000000"/>
          <w:shd w:val="clear" w:color="auto" w:fill="FFFFFF"/>
          <w:vertAlign w:val="superscript"/>
        </w:rPr>
        <w:t xml:space="preserve">1 </w:t>
      </w:r>
      <w:r>
        <w:rPr>
          <w:b/>
          <w:bCs/>
          <w:color w:val="000000"/>
          <w:shd w:val="clear" w:color="auto" w:fill="FFFFFF"/>
        </w:rPr>
        <w:t>pantā formulējuma  “</w:t>
      </w:r>
      <w:r>
        <w:rPr>
          <w:b/>
          <w:bCs/>
          <w:color w:val="000000"/>
        </w:rPr>
        <w:t>slēdz līgumu ar daudzdzīvokļu ēkas dzīvokļu īpašnieku kopības pilnvaroto personu par siltumenerģijas piegādes nodrošināšanu” vietā būtu iekļaujams formulējums “nodrošina siltumenerģijas piegādi”.</w:t>
      </w:r>
    </w:p>
    <w:p w14:paraId="730822BF" w14:textId="3F407B37" w:rsidR="00E166AF" w:rsidRPr="00791A37" w:rsidRDefault="00E166AF" w:rsidP="00E166AF">
      <w:pPr>
        <w:shd w:val="clear" w:color="auto" w:fill="FFFFFF"/>
        <w:ind w:firstLine="720"/>
        <w:jc w:val="both"/>
        <w:rPr>
          <w:b/>
          <w:color w:val="000000"/>
        </w:rPr>
      </w:pPr>
      <w:r w:rsidRPr="00791A37">
        <w:rPr>
          <w:b/>
          <w:color w:val="000000"/>
        </w:rPr>
        <w:t>Papildus vēršama uzmanība, ka nav skaidrs mērķis Noteikumu 27.</w:t>
      </w:r>
      <w:r w:rsidRPr="00791A37">
        <w:rPr>
          <w:b/>
          <w:color w:val="000000"/>
          <w:vertAlign w:val="superscript"/>
        </w:rPr>
        <w:t>1</w:t>
      </w:r>
      <w:r w:rsidR="00791A37">
        <w:rPr>
          <w:b/>
          <w:color w:val="000000"/>
        </w:rPr>
        <w:t>2. </w:t>
      </w:r>
      <w:r w:rsidRPr="00791A37">
        <w:rPr>
          <w:b/>
          <w:color w:val="000000"/>
        </w:rPr>
        <w:t>apakšpunktā  paredzētajam pasākumam (pašvaldības informēšanai par daudzīvokļu ēkas parāda esamības faktu)</w:t>
      </w:r>
      <w:r w:rsidR="00791A37">
        <w:rPr>
          <w:b/>
          <w:color w:val="000000"/>
        </w:rPr>
        <w:t>,</w:t>
      </w:r>
      <w:r w:rsidRPr="00791A37">
        <w:rPr>
          <w:b/>
          <w:color w:val="000000"/>
        </w:rPr>
        <w:t xml:space="preserve"> līdz ar to Sabiedrība ierosina izslēgt šo apakšpunktu no grozījumu projekta.</w:t>
      </w:r>
    </w:p>
    <w:p w14:paraId="62CE8B67" w14:textId="50DE633E" w:rsidR="00E166AF" w:rsidRPr="00791A37" w:rsidRDefault="00E166AF" w:rsidP="00E166AF">
      <w:pPr>
        <w:shd w:val="clear" w:color="auto" w:fill="FFFFFF"/>
        <w:ind w:firstLine="720"/>
        <w:jc w:val="both"/>
        <w:rPr>
          <w:b/>
          <w:iCs/>
          <w:color w:val="000000"/>
        </w:rPr>
      </w:pPr>
      <w:r w:rsidRPr="00791A37">
        <w:rPr>
          <w:b/>
          <w:color w:val="000000"/>
        </w:rPr>
        <w:t xml:space="preserve">Sabiedrība ierosina precizēt </w:t>
      </w:r>
      <w:r w:rsidR="00791A37" w:rsidRPr="00791A37">
        <w:rPr>
          <w:b/>
          <w:color w:val="000000"/>
        </w:rPr>
        <w:t>grozījumu projektā iekļauto</w:t>
      </w:r>
      <w:r w:rsidRPr="00791A37">
        <w:rPr>
          <w:b/>
          <w:color w:val="000000"/>
        </w:rPr>
        <w:t xml:space="preserve"> </w:t>
      </w:r>
      <w:r w:rsidR="00791A37" w:rsidRPr="00791A37">
        <w:rPr>
          <w:b/>
          <w:color w:val="000000"/>
        </w:rPr>
        <w:t xml:space="preserve">Noteikumu </w:t>
      </w:r>
      <w:r w:rsidR="00791A37" w:rsidRPr="00791A37">
        <w:rPr>
          <w:b/>
          <w:iCs/>
          <w:color w:val="000000"/>
        </w:rPr>
        <w:t>27.</w:t>
      </w:r>
      <w:r w:rsidR="00791A37" w:rsidRPr="00791A37">
        <w:rPr>
          <w:b/>
          <w:iCs/>
          <w:color w:val="000000"/>
          <w:vertAlign w:val="superscript"/>
        </w:rPr>
        <w:t>1</w:t>
      </w:r>
      <w:r w:rsidR="00791A37" w:rsidRPr="00791A37">
        <w:rPr>
          <w:b/>
          <w:iCs/>
          <w:color w:val="000000"/>
        </w:rPr>
        <w:t xml:space="preserve">4.apakšpunktu, izsakot to šādā redakcijā: </w:t>
      </w:r>
    </w:p>
    <w:p w14:paraId="6F959950" w14:textId="241292A1" w:rsidR="00791A37" w:rsidRPr="00791A37" w:rsidRDefault="00791A37" w:rsidP="00791A37">
      <w:pPr>
        <w:shd w:val="clear" w:color="auto" w:fill="FFFFFF"/>
        <w:ind w:firstLine="720"/>
        <w:jc w:val="both"/>
        <w:rPr>
          <w:b/>
          <w:i/>
          <w:iCs/>
          <w:color w:val="000000"/>
        </w:rPr>
      </w:pPr>
      <w:r w:rsidRPr="00791A37">
        <w:rPr>
          <w:b/>
          <w:i/>
          <w:iCs/>
          <w:color w:val="000000"/>
        </w:rPr>
        <w:t>“27.</w:t>
      </w:r>
      <w:r w:rsidRPr="00791A37">
        <w:rPr>
          <w:b/>
          <w:i/>
          <w:iCs/>
          <w:color w:val="000000"/>
          <w:vertAlign w:val="superscript"/>
        </w:rPr>
        <w:t>1</w:t>
      </w:r>
      <w:r w:rsidRPr="00791A37">
        <w:rPr>
          <w:b/>
          <w:i/>
          <w:iCs/>
          <w:color w:val="000000"/>
        </w:rPr>
        <w:t xml:space="preserve">4. parāda piedziņas pieteikuma iesniegšanu tiesā, </w:t>
      </w:r>
      <w:r w:rsidRPr="00791A37">
        <w:rPr>
          <w:b/>
          <w:i/>
          <w:iCs/>
        </w:rPr>
        <w:t xml:space="preserve">izņemot </w:t>
      </w:r>
      <w:r w:rsidRPr="00791A37">
        <w:rPr>
          <w:b/>
          <w:i/>
        </w:rPr>
        <w:t>gadījumus, kad parāds uzskatāms par neatgūstamu vai kad parāda piedziņas tūlītējie izdevumi pārsniedz</w:t>
      </w:r>
      <w:r w:rsidR="00963C01">
        <w:rPr>
          <w:b/>
          <w:i/>
        </w:rPr>
        <w:t xml:space="preserve"> parāda apmēru</w:t>
      </w:r>
      <w:r w:rsidRPr="00791A37">
        <w:rPr>
          <w:b/>
          <w:i/>
        </w:rPr>
        <w:t xml:space="preserve"> vai ir līdzvērtīgi </w:t>
      </w:r>
      <w:r w:rsidR="00963C01">
        <w:rPr>
          <w:b/>
          <w:i/>
        </w:rPr>
        <w:t>ar to</w:t>
      </w:r>
      <w:r w:rsidRPr="00791A37">
        <w:rPr>
          <w:b/>
          <w:i/>
        </w:rPr>
        <w:t>.</w:t>
      </w:r>
      <w:r w:rsidRPr="00791A37">
        <w:rPr>
          <w:b/>
          <w:i/>
          <w:iCs/>
          <w:color w:val="000000"/>
        </w:rPr>
        <w:t>”</w:t>
      </w:r>
    </w:p>
    <w:p w14:paraId="541F9F0D" w14:textId="559E3B84" w:rsidR="00E166AF" w:rsidRDefault="00E166AF" w:rsidP="00E166AF">
      <w:pPr>
        <w:shd w:val="clear" w:color="auto" w:fill="FFFFFF"/>
        <w:ind w:firstLine="720"/>
        <w:jc w:val="both"/>
      </w:pPr>
      <w:r>
        <w:t xml:space="preserve">2. </w:t>
      </w:r>
      <w:r>
        <w:rPr>
          <w:color w:val="000000"/>
        </w:rPr>
        <w:t>Grozījumu projektā ietvertais Noteikumu 36.punkts šobrīd paredz:</w:t>
      </w:r>
    </w:p>
    <w:p w14:paraId="5C25A9DC" w14:textId="325E2C24" w:rsidR="00E166AF" w:rsidRDefault="00E166AF" w:rsidP="00E166AF">
      <w:pPr>
        <w:shd w:val="clear" w:color="auto" w:fill="FFFFFF"/>
        <w:ind w:firstLine="720"/>
        <w:jc w:val="both"/>
        <w:rPr>
          <w:i/>
          <w:iCs/>
          <w:u w:val="single"/>
        </w:rPr>
      </w:pPr>
      <w:r>
        <w:rPr>
          <w:i/>
          <w:iCs/>
          <w:color w:val="000000"/>
          <w:shd w:val="clear" w:color="auto" w:fill="FFFFFF"/>
        </w:rPr>
        <w:t xml:space="preserve">“36. Norēķinus par iepriekšējā mēnesī izlietoto siltumenerģiju veic atbilstoši līguma nosacījumiem saskaņā ar rēķinu, kuru līdz nākamā mēneša piektajam datumam izraksta piegādātājs. Ja lietotāja siltumapgādes sistēmas atļautā maksimālā slodze ir lielāka par diviem megavatiem, piegādātājam ir tiesības pieprasīt lietotājam veikt starpnorēķina maksājumus. </w:t>
      </w:r>
      <w:r>
        <w:rPr>
          <w:i/>
          <w:iCs/>
          <w:color w:val="000000"/>
          <w:u w:val="single"/>
          <w:shd w:val="clear" w:color="auto" w:fill="FFFFFF"/>
        </w:rPr>
        <w:t>Galīgo norēķinu veic līdz nākamā mēneša divdesmitajam datumam</w:t>
      </w:r>
      <w:r>
        <w:rPr>
          <w:i/>
          <w:iCs/>
          <w:color w:val="000000"/>
          <w:shd w:val="clear" w:color="auto" w:fill="FFFFFF"/>
        </w:rPr>
        <w:t xml:space="preserve">, ņemot vērā siltumenerģijas skaitītāju rādījumus un starpnorēķinu maksājumus. </w:t>
      </w:r>
      <w:r>
        <w:rPr>
          <w:i/>
          <w:iCs/>
          <w:color w:val="000000"/>
          <w:u w:val="single"/>
          <w:shd w:val="clear" w:color="auto" w:fill="FFFFFF"/>
        </w:rPr>
        <w:t>Piegādātājs un ēkas īpašnieks vai daudzdzīvokļu ēkas dzīvokļu īpašnieku kopības pilnvarotā persona var vienoties par citu norēķinu termiņu, bet ne vēlāk  kā līdz norēķina periodam sekojošā mēneša  trīsdesmitajam datumam.</w:t>
      </w:r>
      <w:r>
        <w:rPr>
          <w:i/>
          <w:iCs/>
          <w:color w:val="000000"/>
          <w:u w:val="single"/>
        </w:rPr>
        <w:t>”</w:t>
      </w:r>
    </w:p>
    <w:p w14:paraId="2BF24B98" w14:textId="30375F03" w:rsidR="00E166AF" w:rsidRDefault="00E166AF" w:rsidP="00E166AF">
      <w:pPr>
        <w:shd w:val="clear" w:color="auto" w:fill="FFFFFF"/>
        <w:ind w:firstLine="720"/>
        <w:jc w:val="both"/>
        <w:rPr>
          <w:b/>
          <w:bCs/>
        </w:rPr>
      </w:pPr>
      <w:r>
        <w:rPr>
          <w:color w:val="000000"/>
          <w:shd w:val="clear" w:color="auto" w:fill="FFFFFF"/>
        </w:rPr>
        <w:t>Sabiedrība vērš uzmanību, ka nav ņemts vērā Sabiedrības lūgums pagarināt Noteikumu 36.punktā noteikto galīgo norēķinu termiņu no mēneša 20. datumu uz mēneša pēdējo datumu, turklāt nav saglabāts arī grozījumu projektā iepriekš paredzētais termiņa pagarinājums līdz mēneša 25.datumam. Anotācijā norādīts, ka “</w:t>
      </w:r>
      <w:r>
        <w:rPr>
          <w:i/>
          <w:iCs/>
          <w:color w:val="000000"/>
          <w:shd w:val="clear" w:color="auto" w:fill="FFFFFF"/>
        </w:rPr>
        <w:t>noteikumu projektā ir paredzēta iespēja siltumenerģijas piegādātājam un ēkas īpašniekam, kopīpašniekiem vai daudzdzīvokļu ēkas dzīvokļu īpašnieku kopības pilnvarotajai personai vienoties par citu norēķinu termiņu, kas var būt līdz  pat norēķina periodam sekojošā mēneša  trīsdesmitajam datumam. Tas atrisinātu neatbilstību starp norēķinu datumiem SIA “Rīgas namu pārvaldnieks” klientiem.</w:t>
      </w:r>
      <w:r>
        <w:rPr>
          <w:color w:val="000000"/>
        </w:rPr>
        <w:t xml:space="preserve">” Sabiedrība norāda, ka grozījumu projektā paredzētā iespēja vienoties par citu norēķinu termiņu ir atkarīga no siltumenerģijas piegādātāja gribas. Līdz šim akciju sabiedrība “RĪGAS SILTUMS” ir bijusi kategoriski pret Sabiedrības iniciatīvu pagarināt Noteikumos noteikto norēķinu termiņu un Sabiedrībai nav informācijas, ka akciju sabiedrība “RĪGAS SILTUMS” apsvērtu iespēju mainīt savu nostāju. Akciju sabiedrība “RĪGAS SILTUMS” darbojas nozarē, kurā pastāv dabiskais monopols (skat. </w:t>
      </w:r>
      <w:hyperlink r:id="rId10" w:history="1">
        <w:r>
          <w:rPr>
            <w:rStyle w:val="Hyperlink"/>
          </w:rPr>
          <w:t>https://lvportals.lv/dienaskartiba/325725-pasvaldiba-saglabas-lidzdalibu-uznemumos-rigas-nacionalais-zoologiskais-darzs-un-rigas-siltums-2021</w:t>
        </w:r>
      </w:hyperlink>
      <w:r>
        <w:rPr>
          <w:color w:val="000000"/>
        </w:rPr>
        <w:t xml:space="preserve">), līdz ar to nav skaidrs, kādā veidā dzīvokļu īpašnieku kopības vai to pilnvarotās personas varētu panākt, ka siltumenerģijas piegādātājs piekrīt tam neizdevīgai norēķinu termiņa maiņai. Papildus norādāms, ka gadījumā, ja Sabiedrībai tomēr izdotos panākt šādu vienošanos ar siltumenerģijas piegādātāju, neatbilstība starp norēķinu datumiem netiktu atrisināta, jo Sabiedrības rēķini ir apmaksājami līdz mēneša pēdējam datumam, taču piedāvātie grozījumi paredz ierobežojumu (mēneša 30.datumu). </w:t>
      </w:r>
      <w:r>
        <w:rPr>
          <w:b/>
          <w:bCs/>
          <w:color w:val="000000"/>
        </w:rPr>
        <w:t xml:space="preserve">Sabiedrības ieskatā, norēķinu termiņa pagarinājums ir nosakāms Noteikumu 36.punktā kā imperatīvs regulējums, kas nav atkarīgs no siltumenerģijas piegādātāja gribas. Savukārt gadījumā, ja tiek noteikts, ka termiņa pagarinājums </w:t>
      </w:r>
      <w:r>
        <w:rPr>
          <w:b/>
          <w:bCs/>
          <w:color w:val="000000"/>
        </w:rPr>
        <w:lastRenderedPageBreak/>
        <w:t>iespējams vienošanās ceļā, kā galīgais termiņš būtu nosakāms mēneša pēdējais datums (31.datums).</w:t>
      </w:r>
    </w:p>
    <w:p w14:paraId="7A872CA2" w14:textId="2EC84B72" w:rsidR="00604BC2" w:rsidRPr="00F23179" w:rsidRDefault="00604BC2" w:rsidP="00604BC2"/>
    <w:p w14:paraId="12E54DBB" w14:textId="01E3BE37" w:rsidR="00604BC2" w:rsidRPr="00F23179" w:rsidRDefault="00604BC2" w:rsidP="00604BC2"/>
    <w:p w14:paraId="1904F373" w14:textId="361E2AA5" w:rsidR="00604BC2" w:rsidRPr="00F23179" w:rsidRDefault="00F23179" w:rsidP="00F23179">
      <w:pPr>
        <w:tabs>
          <w:tab w:val="right" w:pos="9071"/>
        </w:tabs>
      </w:pPr>
      <w:r>
        <w:t xml:space="preserve">Valdes priekšsēdētājs </w:t>
      </w:r>
      <w:r>
        <w:tab/>
        <w:t>R. Neimanis</w:t>
      </w:r>
    </w:p>
    <w:p w14:paraId="03002E98" w14:textId="39082E73" w:rsidR="00604BC2" w:rsidRPr="00F23179" w:rsidRDefault="00604BC2" w:rsidP="00604BC2"/>
    <w:p w14:paraId="09EAB239" w14:textId="0BC3E0EB" w:rsidR="00604BC2" w:rsidRDefault="00604BC2" w:rsidP="00604BC2"/>
    <w:p w14:paraId="0740C751" w14:textId="5977049E" w:rsidR="00F23179" w:rsidRPr="00F23179" w:rsidRDefault="00F23179" w:rsidP="00604BC2">
      <w:pPr>
        <w:rPr>
          <w:sz w:val="20"/>
          <w:szCs w:val="20"/>
        </w:rPr>
      </w:pPr>
      <w:r w:rsidRPr="00F23179">
        <w:rPr>
          <w:sz w:val="20"/>
          <w:szCs w:val="20"/>
        </w:rPr>
        <w:t>Krūmiņa 26352215</w:t>
      </w:r>
    </w:p>
    <w:p w14:paraId="5B2B1922" w14:textId="77777777" w:rsidR="00F23179" w:rsidRDefault="00F23179" w:rsidP="00604BC2"/>
    <w:p w14:paraId="3A0C7F1E" w14:textId="77777777" w:rsidR="00F23179" w:rsidRPr="00F23179" w:rsidRDefault="00F23179" w:rsidP="00604BC2"/>
    <w:p w14:paraId="6744C347" w14:textId="0619EE5A" w:rsidR="00604BC2" w:rsidRPr="00F23179" w:rsidRDefault="00F23179" w:rsidP="00F23179">
      <w:pPr>
        <w:rPr>
          <w:sz w:val="20"/>
          <w:szCs w:val="20"/>
        </w:rPr>
      </w:pPr>
      <w:r w:rsidRPr="00F23179">
        <w:rPr>
          <w:sz w:val="20"/>
          <w:szCs w:val="20"/>
        </w:rPr>
        <w:t xml:space="preserve">ŠIS DOKUMENTS IR ELEKTRONISKI PARAKSTĪTS AR DROŠU ELEKTRONISKO </w:t>
      </w:r>
      <w:r w:rsidRPr="00F23179">
        <w:rPr>
          <w:sz w:val="20"/>
          <w:szCs w:val="20"/>
        </w:rPr>
        <w:br/>
        <w:t>PARAKSTU UN SATUR LAIKA ZĪMOGU</w:t>
      </w:r>
    </w:p>
    <w:sectPr w:rsidR="00604BC2" w:rsidRPr="00F23179" w:rsidSect="00200512">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1A314" w14:textId="77777777" w:rsidR="00010585" w:rsidRDefault="00010585">
      <w:r>
        <w:separator/>
      </w:r>
    </w:p>
  </w:endnote>
  <w:endnote w:type="continuationSeparator" w:id="0">
    <w:p w14:paraId="1B6A7DF7" w14:textId="77777777" w:rsidR="00010585" w:rsidRDefault="000105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2AFF" w:usb1="4000ACFF" w:usb2="00000001" w:usb3="00000000" w:csb0="000001FF" w:csb1="00000000"/>
  </w:font>
  <w:font w:name="Times New Roman">
    <w:panose1 w:val="02020603050405020304"/>
    <w:charset w:val="BA"/>
    <w:family w:val="roman"/>
    <w:pitch w:val="variable"/>
    <w:sig w:usb0="E0002A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A0002AEF" w:usb1="4000207B" w:usb2="00000000" w:usb3="00000000" w:csb0="000001FF" w:csb1="00000000"/>
  </w:font>
  <w:font w:name="Arial">
    <w:panose1 w:val="020B0604020202020204"/>
    <w:charset w:val="BA"/>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3AECC2" w14:textId="77777777" w:rsidR="00010585" w:rsidRDefault="00010585">
      <w:r>
        <w:rPr>
          <w:color w:val="000000"/>
        </w:rPr>
        <w:separator/>
      </w:r>
    </w:p>
  </w:footnote>
  <w:footnote w:type="continuationSeparator" w:id="0">
    <w:p w14:paraId="68116F21" w14:textId="77777777" w:rsidR="00010585" w:rsidRDefault="00010585">
      <w:r>
        <w:continuationSeparator/>
      </w:r>
    </w:p>
  </w:footnote>
  <w:footnote w:id="1">
    <w:p w14:paraId="0A505132" w14:textId="72EA5C6F" w:rsidR="00E166AF" w:rsidRDefault="00E166AF">
      <w:pPr>
        <w:pStyle w:val="FootnoteText"/>
      </w:pPr>
      <w:r>
        <w:rPr>
          <w:rStyle w:val="FootnoteReference"/>
        </w:rPr>
        <w:footnoteRef/>
      </w:r>
      <w:r>
        <w:t xml:space="preserve"> Pieejams: </w:t>
      </w:r>
      <w:hyperlink r:id="rId1" w:history="1">
        <w:r w:rsidRPr="00FF7E00">
          <w:rPr>
            <w:rStyle w:val="Hyperlink"/>
          </w:rPr>
          <w:t>https://tapportals.mk.gov.lv/legal_acts/780dcb3f-8a95-40b3-9381-b26a2af3ed41</w:t>
        </w:r>
      </w:hyperlink>
      <w: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autoHyphenation/>
  <w:doNotShadeFormData/>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12B2"/>
    <w:rsid w:val="0000797D"/>
    <w:rsid w:val="00010585"/>
    <w:rsid w:val="00076FB4"/>
    <w:rsid w:val="000A3BD6"/>
    <w:rsid w:val="00102D9C"/>
    <w:rsid w:val="00173687"/>
    <w:rsid w:val="00196F8C"/>
    <w:rsid w:val="001D37F5"/>
    <w:rsid w:val="001D63CE"/>
    <w:rsid w:val="00200512"/>
    <w:rsid w:val="002353F3"/>
    <w:rsid w:val="002A4474"/>
    <w:rsid w:val="002A5488"/>
    <w:rsid w:val="002E6EC0"/>
    <w:rsid w:val="003047BF"/>
    <w:rsid w:val="00362EE2"/>
    <w:rsid w:val="003921EF"/>
    <w:rsid w:val="00397F27"/>
    <w:rsid w:val="003A3B9E"/>
    <w:rsid w:val="003E5D70"/>
    <w:rsid w:val="00403326"/>
    <w:rsid w:val="004506AA"/>
    <w:rsid w:val="00490386"/>
    <w:rsid w:val="004B29AF"/>
    <w:rsid w:val="004D12B2"/>
    <w:rsid w:val="004D3013"/>
    <w:rsid w:val="004E2297"/>
    <w:rsid w:val="00500B4A"/>
    <w:rsid w:val="00511021"/>
    <w:rsid w:val="00562651"/>
    <w:rsid w:val="00604BC2"/>
    <w:rsid w:val="006148C1"/>
    <w:rsid w:val="006518A5"/>
    <w:rsid w:val="0068557E"/>
    <w:rsid w:val="006A14BE"/>
    <w:rsid w:val="006D6402"/>
    <w:rsid w:val="006E4799"/>
    <w:rsid w:val="00790C20"/>
    <w:rsid w:val="00791A37"/>
    <w:rsid w:val="008152F1"/>
    <w:rsid w:val="00830933"/>
    <w:rsid w:val="00835789"/>
    <w:rsid w:val="00835FD0"/>
    <w:rsid w:val="00883304"/>
    <w:rsid w:val="008F76A8"/>
    <w:rsid w:val="009021FD"/>
    <w:rsid w:val="00906C2E"/>
    <w:rsid w:val="00963C01"/>
    <w:rsid w:val="00970DEA"/>
    <w:rsid w:val="009B77E2"/>
    <w:rsid w:val="009E773E"/>
    <w:rsid w:val="00A22F1A"/>
    <w:rsid w:val="00A41EB8"/>
    <w:rsid w:val="00AC0A2B"/>
    <w:rsid w:val="00AC6228"/>
    <w:rsid w:val="00AE28E9"/>
    <w:rsid w:val="00AE5A1E"/>
    <w:rsid w:val="00B0702B"/>
    <w:rsid w:val="00B4305F"/>
    <w:rsid w:val="00B57026"/>
    <w:rsid w:val="00BE255A"/>
    <w:rsid w:val="00C06314"/>
    <w:rsid w:val="00C06783"/>
    <w:rsid w:val="00C41AE2"/>
    <w:rsid w:val="00C4570F"/>
    <w:rsid w:val="00C51A51"/>
    <w:rsid w:val="00C61905"/>
    <w:rsid w:val="00CA4579"/>
    <w:rsid w:val="00CC6B2C"/>
    <w:rsid w:val="00D12AEE"/>
    <w:rsid w:val="00D267D2"/>
    <w:rsid w:val="00D87BAC"/>
    <w:rsid w:val="00DE037D"/>
    <w:rsid w:val="00DE68B0"/>
    <w:rsid w:val="00E028D1"/>
    <w:rsid w:val="00E029AC"/>
    <w:rsid w:val="00E1381A"/>
    <w:rsid w:val="00E166AF"/>
    <w:rsid w:val="00E51E0D"/>
    <w:rsid w:val="00EA1156"/>
    <w:rsid w:val="00EC5439"/>
    <w:rsid w:val="00EF480D"/>
    <w:rsid w:val="00F162CF"/>
    <w:rsid w:val="00F23179"/>
    <w:rsid w:val="00F5216E"/>
    <w:rsid w:val="00F57980"/>
    <w:rsid w:val="00F858AD"/>
    <w:rsid w:val="00FA265A"/>
    <w:rsid w:val="00FC2484"/>
    <w:rsid w:val="00FC328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869C5"/>
  <w15:docId w15:val="{6EDFDA61-B514-4CE8-B02E-F9A3F6ECB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autoSpaceDN w:val="0"/>
      <w:textAlignment w:val="baseline"/>
    </w:pPr>
    <w:rPr>
      <w:rFonts w:ascii="Times New Roman" w:eastAsia="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jc w:val="center"/>
    </w:pPr>
    <w:rPr>
      <w:sz w:val="40"/>
      <w:szCs w:val="40"/>
    </w:rPr>
  </w:style>
  <w:style w:type="character" w:styleId="Hyperlink">
    <w:name w:val="Hyperlink"/>
    <w:uiPriority w:val="99"/>
    <w:unhideWhenUsed/>
    <w:rsid w:val="00B0702B"/>
    <w:rPr>
      <w:color w:val="0563C1"/>
      <w:u w:val="single"/>
    </w:rPr>
  </w:style>
  <w:style w:type="paragraph" w:styleId="BalloonText">
    <w:name w:val="Balloon Text"/>
    <w:basedOn w:val="Normal"/>
    <w:link w:val="BalloonTextChar"/>
    <w:uiPriority w:val="99"/>
    <w:semiHidden/>
    <w:unhideWhenUsed/>
    <w:rsid w:val="00790C20"/>
    <w:rPr>
      <w:rFonts w:ascii="Segoe UI" w:hAnsi="Segoe UI" w:cs="Segoe UI"/>
      <w:sz w:val="18"/>
      <w:szCs w:val="18"/>
    </w:rPr>
  </w:style>
  <w:style w:type="character" w:customStyle="1" w:styleId="BalloonTextChar">
    <w:name w:val="Balloon Text Char"/>
    <w:link w:val="BalloonText"/>
    <w:uiPriority w:val="99"/>
    <w:semiHidden/>
    <w:rsid w:val="00790C20"/>
    <w:rPr>
      <w:rFonts w:ascii="Segoe UI" w:eastAsia="Times New Roman" w:hAnsi="Segoe UI" w:cs="Segoe UI"/>
      <w:sz w:val="18"/>
      <w:szCs w:val="18"/>
      <w:lang w:val="en-US" w:eastAsia="en-US"/>
    </w:rPr>
  </w:style>
  <w:style w:type="character" w:customStyle="1" w:styleId="Neatrisintapieminana1">
    <w:name w:val="Neatrisināta pieminēšana1"/>
    <w:basedOn w:val="DefaultParagraphFont"/>
    <w:uiPriority w:val="99"/>
    <w:semiHidden/>
    <w:unhideWhenUsed/>
    <w:rsid w:val="003A3B9E"/>
    <w:rPr>
      <w:color w:val="605E5C"/>
      <w:shd w:val="clear" w:color="auto" w:fill="E1DFDD"/>
    </w:rPr>
  </w:style>
  <w:style w:type="paragraph" w:styleId="Header">
    <w:name w:val="header"/>
    <w:basedOn w:val="Normal"/>
    <w:link w:val="HeaderChar"/>
    <w:uiPriority w:val="99"/>
    <w:unhideWhenUsed/>
    <w:rsid w:val="00EC5439"/>
    <w:pPr>
      <w:tabs>
        <w:tab w:val="center" w:pos="4153"/>
        <w:tab w:val="right" w:pos="8306"/>
      </w:tabs>
    </w:pPr>
  </w:style>
  <w:style w:type="character" w:customStyle="1" w:styleId="HeaderChar">
    <w:name w:val="Header Char"/>
    <w:basedOn w:val="DefaultParagraphFont"/>
    <w:link w:val="Header"/>
    <w:uiPriority w:val="99"/>
    <w:rsid w:val="00EC5439"/>
    <w:rPr>
      <w:rFonts w:ascii="Times New Roman" w:eastAsia="Times New Roman" w:hAnsi="Times New Roman"/>
      <w:sz w:val="24"/>
      <w:szCs w:val="24"/>
      <w:lang w:val="en-US" w:eastAsia="en-US"/>
    </w:rPr>
  </w:style>
  <w:style w:type="paragraph" w:styleId="Footer">
    <w:name w:val="footer"/>
    <w:basedOn w:val="Normal"/>
    <w:link w:val="FooterChar"/>
    <w:uiPriority w:val="99"/>
    <w:unhideWhenUsed/>
    <w:rsid w:val="00EC5439"/>
    <w:pPr>
      <w:tabs>
        <w:tab w:val="center" w:pos="4153"/>
        <w:tab w:val="right" w:pos="8306"/>
      </w:tabs>
    </w:pPr>
  </w:style>
  <w:style w:type="character" w:customStyle="1" w:styleId="FooterChar">
    <w:name w:val="Footer Char"/>
    <w:basedOn w:val="DefaultParagraphFont"/>
    <w:link w:val="Footer"/>
    <w:uiPriority w:val="99"/>
    <w:rsid w:val="00EC5439"/>
    <w:rPr>
      <w:rFonts w:ascii="Times New Roman" w:eastAsia="Times New Roman" w:hAnsi="Times New Roman"/>
      <w:sz w:val="24"/>
      <w:szCs w:val="24"/>
      <w:lang w:val="en-US" w:eastAsia="en-US"/>
    </w:rPr>
  </w:style>
  <w:style w:type="paragraph" w:styleId="BodyTextIndent">
    <w:name w:val="Body Text Indent"/>
    <w:basedOn w:val="Normal"/>
    <w:link w:val="BodyTextIndentChar"/>
    <w:uiPriority w:val="99"/>
    <w:unhideWhenUsed/>
    <w:rsid w:val="00604BC2"/>
    <w:pPr>
      <w:suppressAutoHyphens w:val="0"/>
      <w:autoSpaceDN/>
      <w:spacing w:before="120" w:after="120"/>
      <w:ind w:left="283"/>
      <w:textAlignment w:val="auto"/>
    </w:pPr>
    <w:rPr>
      <w:sz w:val="20"/>
      <w:szCs w:val="20"/>
    </w:rPr>
  </w:style>
  <w:style w:type="character" w:customStyle="1" w:styleId="BodyTextIndentChar">
    <w:name w:val="Body Text Indent Char"/>
    <w:basedOn w:val="DefaultParagraphFont"/>
    <w:link w:val="BodyTextIndent"/>
    <w:uiPriority w:val="99"/>
    <w:rsid w:val="00604BC2"/>
    <w:rPr>
      <w:rFonts w:ascii="Times New Roman" w:eastAsia="Times New Roman" w:hAnsi="Times New Roman"/>
      <w:lang w:val="en-US" w:eastAsia="en-US"/>
    </w:rPr>
  </w:style>
  <w:style w:type="paragraph" w:styleId="FootnoteText">
    <w:name w:val="footnote text"/>
    <w:basedOn w:val="Normal"/>
    <w:link w:val="FootnoteTextChar"/>
    <w:uiPriority w:val="99"/>
    <w:semiHidden/>
    <w:unhideWhenUsed/>
    <w:rsid w:val="00E166AF"/>
    <w:rPr>
      <w:sz w:val="20"/>
      <w:szCs w:val="20"/>
    </w:rPr>
  </w:style>
  <w:style w:type="character" w:customStyle="1" w:styleId="FootnoteTextChar">
    <w:name w:val="Footnote Text Char"/>
    <w:basedOn w:val="DefaultParagraphFont"/>
    <w:link w:val="FootnoteText"/>
    <w:uiPriority w:val="99"/>
    <w:semiHidden/>
    <w:rsid w:val="00E166AF"/>
    <w:rPr>
      <w:rFonts w:ascii="Times New Roman" w:eastAsia="Times New Roman" w:hAnsi="Times New Roman"/>
      <w:lang w:eastAsia="en-US"/>
    </w:rPr>
  </w:style>
  <w:style w:type="character" w:styleId="FootnoteReference">
    <w:name w:val="footnote reference"/>
    <w:basedOn w:val="DefaultParagraphFont"/>
    <w:uiPriority w:val="99"/>
    <w:semiHidden/>
    <w:unhideWhenUsed/>
    <w:rsid w:val="00E166A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0490673">
      <w:bodyDiv w:val="1"/>
      <w:marLeft w:val="0"/>
      <w:marRight w:val="0"/>
      <w:marTop w:val="0"/>
      <w:marBottom w:val="0"/>
      <w:divBdr>
        <w:top w:val="none" w:sz="0" w:space="0" w:color="auto"/>
        <w:left w:val="none" w:sz="0" w:space="0" w:color="auto"/>
        <w:bottom w:val="none" w:sz="0" w:space="0" w:color="auto"/>
        <w:right w:val="none" w:sz="0" w:space="0" w:color="auto"/>
      </w:divBdr>
    </w:div>
    <w:div w:id="774446425">
      <w:bodyDiv w:val="1"/>
      <w:marLeft w:val="0"/>
      <w:marRight w:val="0"/>
      <w:marTop w:val="0"/>
      <w:marBottom w:val="0"/>
      <w:divBdr>
        <w:top w:val="none" w:sz="0" w:space="0" w:color="auto"/>
        <w:left w:val="none" w:sz="0" w:space="0" w:color="auto"/>
        <w:bottom w:val="none" w:sz="0" w:space="0" w:color="auto"/>
        <w:right w:val="none" w:sz="0" w:space="0" w:color="auto"/>
      </w:divBdr>
    </w:div>
    <w:div w:id="848300305">
      <w:bodyDiv w:val="1"/>
      <w:marLeft w:val="0"/>
      <w:marRight w:val="0"/>
      <w:marTop w:val="0"/>
      <w:marBottom w:val="0"/>
      <w:divBdr>
        <w:top w:val="none" w:sz="0" w:space="0" w:color="auto"/>
        <w:left w:val="none" w:sz="0" w:space="0" w:color="auto"/>
        <w:bottom w:val="none" w:sz="0" w:space="0" w:color="auto"/>
        <w:right w:val="none" w:sz="0" w:space="0" w:color="auto"/>
      </w:divBdr>
    </w:div>
    <w:div w:id="1412193167">
      <w:bodyDiv w:val="1"/>
      <w:marLeft w:val="0"/>
      <w:marRight w:val="0"/>
      <w:marTop w:val="0"/>
      <w:marBottom w:val="0"/>
      <w:divBdr>
        <w:top w:val="none" w:sz="0" w:space="0" w:color="auto"/>
        <w:left w:val="none" w:sz="0" w:space="0" w:color="auto"/>
        <w:bottom w:val="none" w:sz="0" w:space="0" w:color="auto"/>
        <w:right w:val="none" w:sz="0" w:space="0" w:color="auto"/>
      </w:divBdr>
    </w:div>
    <w:div w:id="1741318800">
      <w:bodyDiv w:val="1"/>
      <w:marLeft w:val="0"/>
      <w:marRight w:val="0"/>
      <w:marTop w:val="0"/>
      <w:marBottom w:val="0"/>
      <w:divBdr>
        <w:top w:val="none" w:sz="0" w:space="0" w:color="auto"/>
        <w:left w:val="none" w:sz="0" w:space="0" w:color="auto"/>
        <w:bottom w:val="none" w:sz="0" w:space="0" w:color="auto"/>
        <w:right w:val="none" w:sz="0" w:space="0" w:color="auto"/>
      </w:divBdr>
    </w:div>
    <w:div w:id="19658407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nparvaldnieks.lv" TargetMode="External"/><Relationship Id="rId3" Type="http://schemas.openxmlformats.org/officeDocument/2006/relationships/settings" Target="settings.xml"/><Relationship Id="rId7" Type="http://schemas.openxmlformats.org/officeDocument/2006/relationships/hyperlink" Target="file:///C:\Users\RNP\AppData\Local\Microsoft\Windows\Temporary%20Internet%20Files\AppData\Local\Microsoft\Windows\Temporary%20Internet%20Files\Content.Outlook\LE1V1LJN\rnparvaldnieks@rnparvaldnieks.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lvportals.lv/dienaskartiba/325725-pasvaldiba-saglabas-lidzdalibu-uznemumos-rigas-nacionalais-zoologiskais-darzs-un-rigas-siltums-2021" TargetMode="External"/><Relationship Id="rId4" Type="http://schemas.openxmlformats.org/officeDocument/2006/relationships/webSettings" Target="webSettings.xml"/><Relationship Id="rId9" Type="http://schemas.openxmlformats.org/officeDocument/2006/relationships/hyperlink" Target="mailto:pasts@em.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tapportals.mk.gov.lv/legal_acts/780dcb3f-8a95-40b3-9381-b26a2af3ed4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37414B-0223-43C2-AE65-A3451B5302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5018</Words>
  <Characters>2861</Characters>
  <Application>Microsoft Office Word</Application>
  <DocSecurity>0</DocSecurity>
  <Lines>23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7864</CharactersWithSpaces>
  <SharedDoc>false</SharedDoc>
  <HLinks>
    <vt:vector size="12" baseType="variant">
      <vt:variant>
        <vt:i4>7405670</vt:i4>
      </vt:variant>
      <vt:variant>
        <vt:i4>3</vt:i4>
      </vt:variant>
      <vt:variant>
        <vt:i4>0</vt:i4>
      </vt:variant>
      <vt:variant>
        <vt:i4>5</vt:i4>
      </vt:variant>
      <vt:variant>
        <vt:lpwstr>../AppData/Local/Microsoft/Windows/Temporary Internet Files/AppData/Local/Microsoft/Windows/Temporary Internet Files/Content.Outlook/LE1V1LJN/www.rnparvaldnieks.lv</vt:lpwstr>
      </vt:variant>
      <vt:variant>
        <vt:lpwstr/>
      </vt:variant>
      <vt:variant>
        <vt:i4>7012361</vt:i4>
      </vt:variant>
      <vt:variant>
        <vt:i4>0</vt:i4>
      </vt:variant>
      <vt:variant>
        <vt:i4>0</vt:i4>
      </vt:variant>
      <vt:variant>
        <vt:i4>5</vt:i4>
      </vt:variant>
      <vt:variant>
        <vt:lpwstr>../AppData/Local/Microsoft/Windows/Temporary Internet Files/AppData/Local/Microsoft/Windows/Temporary Internet Files/Content.Outlook/LE1V1LJN/rnparvaldnieks@rnparvaldnieks.lv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Zaķīte</dc:creator>
  <cp:lastModifiedBy>Agnese Līckrastiņa</cp:lastModifiedBy>
  <cp:revision>2</cp:revision>
  <cp:lastPrinted>2014-05-30T15:00:00Z</cp:lastPrinted>
  <dcterms:created xsi:type="dcterms:W3CDTF">2022-07-14T12:38:00Z</dcterms:created>
  <dcterms:modified xsi:type="dcterms:W3CDTF">2022-07-14T12:38:00Z</dcterms:modified>
  <cp:contentStatus/>
</cp:coreProperties>
</file>