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31. oktobra noteikumos Nr. 624 "Datu izplatīšanas un pārvaldības platformas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ietverto normu piemērošanas jomu, nosakot izņēmumu gadījumiem, kad datu apmaiņa notiek vienas iestādes vai resora ietvaros starp tās pārziņā esošām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Ekonomiskais pamatojums: Noteikumu 7. un 8. punkts pašreizējā redakcijā un VARAM interpretācijā uzliek par pienākumu datu devējam izmantot DAGR arī iekšējai datu apritei. Tas rada papildu finansiālo slogu iestādei (izstrādes izmaksas integrācijai ar DAG), kas nav vērsts uz jaunu pakalpojumu radīšanu sabiedrībai, bet gan uz tehnisku procesu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Sistēmu veiktspēja un riski: Piespiedu integrācija ar DAGR iekšējiem procesiem rada lieku atkarību no trešās puses infrastruktūras un rada būtisku DAGR noslodzi un veikstpsējas riskus kritiskām biznesa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neatbilstība: Noteikumu anotācijā minētais mērķis ir nodrošināt "vienreizes principu" un datu atkalizmantošanu citām iestādēm. Prasība iestādei saņemt savus datus caur DAGR nepilda anotācijā definēto mērķi mazināt administratīvo slogu, bet tieši pretēji – palielina tehnisko slogu iestādei bez pievienotās vērtības datu subjektam.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09.06.2026.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09.06.2026.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