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būtisku nodokļa palielinājumu vairākiem dabas resursiem, kas radīs vistiešāko ietekmi uz ražotājiem, pakalpojumu sniedzējiem un gala patērētājiem, jo palielinoties ražošanas vai pārstrādes procesa izmaksām, tas vistiešākā mērā ietekmēs ne tikai konkrētos preču ražotājus vai pakalpojumu sniedzējus, bet tas radīs finansiālu ietekmi arī uz gala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Anotācijā sniegts skaidrojums, ka veikts izmaksu pieauguma izvērtējums un piemērotais palielinājums vērtējams kā samērīgs. </w:t>
            </w:r>
            <w:r w:rsidR="00000000" w:rsidRPr="00000000" w:rsidDel="00000000">
              <w:rPr>
                <w:b w:val="1"/>
                <w:rtl w:val="0"/>
              </w:rPr>
              <w:t xml:space="preserve">Lūdzu skaidrot, pēc kādiem datos balstītiem aprēķiniem un kritērijiem tika secināts, ka izmaksu pieaugums ir samērīgs</w:t>
            </w:r>
            <w:r w:rsidR="00000000" w:rsidRPr="00000000" w:rsidDel="00000000">
              <w:rPr>
                <w:rtl w:val="0"/>
              </w:rPr>
              <w:t xml:space="preserve">, īpaši ņemot vērā esošās ģeopolitiskās krīzes izraisīto situāciju un sekas, kas vēl ilgstoši radīs zināmu ietekmi uz tautsaimniecības izaugsmi un sociālo labklājības līmeni energoresursu straujā cenu pieauguma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Rubika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visā likumprojektā ietvertās prasības attiecībā uz jaunu normu ieviešanu un lūdzam pārskatīt Pārejas noteikumos ietvertās atsauces kontekstā ar noteiktajiem pārejas periodiem. Lūdzam izvērtēt nepieciešamību un sniegt skaidrojumu, kāpēc atsevišķām likumprojekta ietvertajām jaunajām prasībām nav noteikts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Rubika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