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31. maija noteikumos Nr. 328 "Noteikumi par mikroaizdevumiem un starta aizdevumiem"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3.sadaļas 3.ailē, 2. un 2.1.punktā ir norādīti izdevumi 4 698 85</w:t>
            </w:r>
            <w:r w:rsidR="00000000" w:rsidRPr="00000000" w:rsidDel="00000000">
              <w:rPr>
                <w:u w:val="single"/>
                <w:rtl w:val="0"/>
              </w:rPr>
              <w:t xml:space="preserve">7</w:t>
            </w:r>
            <w:r w:rsidR="00000000" w:rsidRPr="00000000" w:rsidDel="00000000">
              <w:rPr>
                <w:rtl w:val="0"/>
              </w:rPr>
              <w:t xml:space="preserve"> euro apmērā, savukārt 6.2.punktā ir minēts, ka provizoriskais finansējuma izlietojums 2023.gadā ir 4 698 85</w:t>
            </w:r>
            <w:r w:rsidR="00000000" w:rsidRPr="00000000" w:rsidDel="00000000">
              <w:rPr>
                <w:u w:val="single"/>
                <w:rtl w:val="0"/>
              </w:rPr>
              <w:t xml:space="preserve">8</w:t>
            </w:r>
            <w:r w:rsidR="00000000" w:rsidRPr="00000000" w:rsidDel="00000000">
              <w:rPr>
                <w:rtl w:val="0"/>
              </w:rPr>
              <w:t xml:space="preserve"> euro. Lūdzam novērst minēto neprecizitāti.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Anželika Osipova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 Šo noteikumu izpratnē saimnieciskās darbības veicējs atbilst sīko (mikro), mazo un vidējo uzņēmumu statusam saskaņā ar Komisijas 2014. gada 17. jūnija Regulas (ES) Nr. </w:t>
            </w:r>
            <w:r w:rsidR="00000000" w:rsidRPr="00000000" w:rsidDel="00000000">
              <w:rPr>
                <w:rtl w:val="0"/>
              </w:rPr>
              <w:t xml:space="preserve">651/2014</w:t>
            </w:r>
            <w:r w:rsidR="00000000" w:rsidRPr="00000000" w:rsidDel="00000000">
              <w:rPr>
                <w:rtl w:val="0"/>
              </w:rPr>
              <w:t xml:space="preserve">, ar ko noteiktas atbalsta kategorijas atzīst par saderīgām ar iekšējo tirgu, piemērojot Līguma 107. un 108. pantu  I pielikumu, vai mazo vidējo kapitalizācijas sabiedrību statusam, vai vidējo kapitalizācijas sabiedrību statusam, saskaņā ar Eiropas Parlamenta un Padomes 2015.gada 25.jūnija Regulas (ES) 2015/1017 par Eiropas Stratēģisko investīciju fondu, Eiropas Investīciju konsultāciju centru un Eiropas Investīciju projektu portālu, ar ko groza Regulas (ES) Nr. 1291/2013 un (ES) Nr. 1316/2013 – Eiropas Stratēģisko investīciju fonds 2.pantam.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ar noteikumu projekta 9. punktu tiek paplašināts atbalsta saņēmēju loks, paredzot, ka atbalstu var saņemt ne tikai sīkie (mikro), mazie un vidējie saimnieciskās darbības veicēji (turpmāk - MVU), bet arī mazas vidējās kapitalizācijas un vidējās kapitalizācijas sabiedrības, kas nav MVU, lūdzam papildināt noteikumu projektu ar nosacījumu, kas izriet no Komisijas regulas Nr. 1407/2013 4.panta 3.punkta a) apakšpunkta un ir attiecināms uz lielajiem uzņēmumiem, proti, paredzēt, ka lielo uzņēmumu gadījumā, saņēmējam jābūt situācijā, kas pielīdzināma vismaz B- kredītreitingam. Papildus, līdzīgi kā citos gadījumos, kad MK noteikumos, piemēram, 23-TA-1073 "Noteikumi par garantijām saimnieciskās darbības veicējiem konkurētspējas uzlabošanai", ir ietverts šāds nosacījums, lūdzam nodrošināt, ka atbalsta sniedzējam un atbalsta saņēmējam ir skaidrība par to, kā noteikt B- kredītreitingu.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Kerolaina Pastare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</w:t>
    </w:r>
    <w:r>
      <w:br/>
    </w:r>
    <w:r w:rsidR="00000000" w:rsidRPr="00000000" w:rsidDel="00000000">
      <w:rPr>
        <w:rtl w:val="0"/>
      </w:rPr>
      <w:t xml:space="preserve">Izdrukāts 25.08.2023. 08.53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23-TA-332</w:t>
    </w:r>
    <w:r>
      <w:br/>
    </w:r>
    <w:r w:rsidR="00000000" w:rsidRPr="00000000" w:rsidDel="00000000">
      <w:rPr>
        <w:rtl w:val="0"/>
      </w:rPr>
      <w:t xml:space="preserve">Izdrukāts 25.08.2023. 08.53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