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2010. gada 12. oktobra noteikumos Nr. 969 "Kārtība, kādā atlīdzināmi ar komandējumiem saistītie izdevumi"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5.4. apakšsadaļas 1. tabulā ietvertās informācijas izriet, ka ar projektā paredzēto grozījumu noteikumu 30. punktā tiek ieviests Eiropas Parlamenta un Padomes 2019. gada 13. novembra Regulas (ES) 2019/1896 par Eiropas Robežu un krasta apsardzi un ar ko atceļ Regulas (ES) Nr. 1052/2013 un (ES) Nr. 2016/1624 (turpmāk - Regula 2019/1896) 45. panta 1. punkts. Lūdzam izvērtēt un izvērstāk skaidrot, kā tieši ar projektu tiek ieviesta minētās regulas norma, jo no anotācijā ietvertā skaidrojuma izriet, ka Regulas 2019/1896 45. panta 1. punkts neregulē attiecīgo personāla komandējuma izdevumu citos Frontex aģentūras pasākumos (kas nav saistīti ar Pastāvīgā korpusa 3. un 4. kategorijas personāla komandējumiem) atlīdzināšanas jautājumus ("</w:t>
            </w:r>
            <w:r w:rsidR="00000000" w:rsidRPr="00000000" w:rsidDel="00000000">
              <w:rPr>
                <w:i w:val="1"/>
                <w:u w:val="single"/>
                <w:rtl w:val="0"/>
              </w:rPr>
              <w:t xml:space="preserve">Saskaņā ar Regulas Nr. 2019/1896 45. pantu</w:t>
            </w:r>
            <w:r w:rsidR="00000000" w:rsidRPr="00000000" w:rsidDel="00000000">
              <w:rPr>
                <w:i w:val="1"/>
                <w:rtl w:val="0"/>
              </w:rPr>
              <w:t xml:space="preserve"> Frontex aģentūra pilnībā sedz izmaksas, kas saistītas ar dalību tās kopīgajās operācijās, kas dalībvalstīm radušās, nodrošinot Pastāvīgā korpusa 3. un 4. kategorijas personāla pieejamību nolūkā tos izvietot dalībvalstīs un trešās valstīs uz īsu termiņu, vai dalībvalstīs, izmantojot ātrās reaģēšanas rezervi. </w:t>
            </w:r>
            <w:r w:rsidR="00000000" w:rsidRPr="00000000" w:rsidDel="00000000">
              <w:rPr>
                <w:i w:val="1"/>
                <w:u w:val="single"/>
                <w:rtl w:val="0"/>
              </w:rPr>
              <w:t xml:space="preserve">Savukārt</w:t>
            </w:r>
            <w:r w:rsidR="00000000" w:rsidRPr="00000000" w:rsidDel="00000000">
              <w:rPr>
                <w:i w:val="1"/>
                <w:rtl w:val="0"/>
              </w:rPr>
              <w:t xml:space="preserve">, aprēķinot un atlīdzinot personāla komandējuma izdevumus citos Frontex aģentūras pasākumos (kas nav saistīti ar Pastāvīgā korpusa 3. un 4. kategorijas personāla komandējumiem), ir piemērojams Ministru kabineta noteikumu Nr. 969 30. punkts un Frontex aģentūras izpilddirektora 2018. gada 6. decembra lēmums Nr. R-ED-2018-143 (pašlaik spēkā esošs) par to izdevumu atlīdzināšanu, kas radušās personām, kuras uzaicinātas apmeklēt Frontex aģentūras sanāksmes (konferences, apmācības, darba grupas un citus līdzīgus pasākumus), ar ko nosaka izdevumu aprēķināšanas un atlīdzināšanas kritērijus un normas.</w:t>
            </w:r>
            <w:r w:rsidR="00000000" w:rsidRPr="00000000" w:rsidDel="00000000">
              <w:rPr>
                <w:rtl w:val="0"/>
              </w:rPr>
              <w:t xml:space="preserve">"). Attiecīgi aicinām tabulā sniegt izvērstāku skaidrojumu par Regulas 2019/1896 45. panta 1. punkta saistību ar projektā ietverto regulējumu vai, ja nepieciešams, citādi precizēt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23-TA-3095</w:t>
    </w:r>
    <w:r>
      <w:br/>
    </w:r>
    <w:r w:rsidR="00000000" w:rsidRPr="00000000" w:rsidDel="00000000">
      <w:rPr>
        <w:rtl w:val="0"/>
      </w:rPr>
      <w:t xml:space="preserve">Izdrukāts 27.09.2024. 20.57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23-TA-3095</w:t>
    </w:r>
    <w:r>
      <w:br/>
    </w:r>
    <w:r w:rsidR="00000000" w:rsidRPr="00000000" w:rsidDel="00000000">
      <w:rPr>
        <w:rtl w:val="0"/>
      </w:rPr>
      <w:t xml:space="preserve">Izdrukāts 27.09.2024. 20.57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Atzinumi_23-TA-3095.docx</dc:title>
</cp:coreProperties>
</file>

<file path=docProps/custom.xml><?xml version="1.0" encoding="utf-8"?>
<Properties xmlns="http://schemas.openxmlformats.org/officeDocument/2006/custom-properties" xmlns:vt="http://schemas.openxmlformats.org/officeDocument/2006/docPropsVTypes"/>
</file>