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Izteikt otrās daļas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nodokļa maksātājs, kas pats veic pasākumus un sedz izdevumus, kas saistīti ar bateriju sistēmām, fotoelementu paneļu un invertoru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reģistrējas Klimata un enerģētikas ministrijas padotībā esošā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nodokļa maksātājs iekārtu īpašumtiesību maiņas gadījumā iesniedz minētajai iestādei īpašumtiesību maiņas apliecinošos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precizētais likumprojekts “Grozījumi Dabas resursu nodokļa likumā”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projekts paredz veikt grozījumus un izteikt jaunā redakcijā Dabas resursu nodokļa likuma (turpmāk – likums) 9. panta otrās daļas 6. un 12. punktu, kuros ir pilnvarojums Ministru kabinetam par noteikumu izdošanu. Vienlaikus projektā tiek paredzēts likumu papildināt ar pārejas noteikumu 51. punktu, kas nosaka uzdevumu Ministru kabinetam izdot jaunajam regulējumam atbilstošus noteikumus līdz 2026. gada 1. oktobrim. Vēršam uzmanību, ka likuma 9. panta otrās daļas 6. un 12. punkts šobrīd ir spēkā esošas normas ar pilnvarojumu Ministru kabinetam par noteikumu izdošanu. Atbilstoši minētajiem pilnvarojumiem ir izdoti Ministru kabineta 2021. gada 28. janvāra noteikumi Nr.64 “Kārtība, kādā atbrīvo no dabas resursu nodokļa samaksas par videi kaitīgām precēm” (turpmāk – noteikumi Nr.64). Ievērojot minēto, projekta anotācijas 1. un 4. sadaļā nepieciešams sniegt izvērstu informāciju par noteikumos Nr.64 un likuma pārejas noteikumu 51. punktā paredzēto Ministru kabineta noteikumu regulējuma nodalīšanu, lai tie nepārklātos vai citādi neietekmētu esošo tiesību normu sistēmu. Papildus piedāvājam nemainīt likuma 9. panta otrās daļas 12. punkta izteiksmes stilu, proti, neveidot šim punktam apakšpunktus. Tieslietu ministrijas ieskatā nosacījums – “nodokļa maksātājs iekārtu īpašumtiesību maiņas gadījumā iesniedz minētajai iestādei īpašumtiesību maiņas apliecinošos dokumentus” bez atsevišķa pilnvarojuma ir ietverams Ministru kabineta noteikumos kā reģistrācijas kārtības sastāvdaļa. Tiesiskās skaidrības nodrošināšanai šādu nosacījumu var skaidrot projekta anotācijā, kas pēc likuma pieņemšanas būs interpretējama kā likumdevēja griba.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nobeigumā esošo likuma “Pārejas noteikumu”, kurā likumu paredzēts papildināt ar jaunu 51. punktu nepieciešams no projekta izslēgt. Vēršam uzmanību, ka šādi tiek izteikti grozījumu likuma pārejas noteikumi. Tā kā grozījums paredz likumu papildināt ar jaunu pārejas noteikumu 51. punktu, tas projektā jāraksta secīgi kā jauns grozījumu likuma 5. pants, proti, jāraksta pirms grozījumiem likuma pielikumos. Savukārt projekta beigās raksta konkrētā likumprojekta pārejas regulējumu, piemēram, par grozījumu likuma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anotācijās 1.2. sadaļu par projektā paredzētā likuma spēkā stāšanos 2026. gada 1. janvārī nepieciešams precizēt, jo minētais termiņš šobrīd ir nokavēts. Oficiālo publikāciju un tiesiskās informācijas likuma 9. panta ceturtā daļā paredz, ka normatīvajam aktam vai tā daļai nav atpakaļejoša spēka, izņemot likumā īpaši paredzētus gadījumus. Turklāt šādu tiesību normu atpakaļejošu spēku nepieciešams objektīvi pamatot. Ievērojot minēto, likuma spēkā stāšanai piedāvājam noteikt Latvijas Republikas Satversmes 69. pantā paredzēto – četrpadsmit dienas pēc izsludināšanas vai likumā noteikt citu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04.02.2026. 20.36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04.02.2026. 20.36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Atzinumi_25-TA-745.docx</dc:title>
</cp:coreProperties>
</file>

<file path=docProps/custom.xml><?xml version="1.0" encoding="utf-8"?>
<Properties xmlns="http://schemas.openxmlformats.org/officeDocument/2006/custom-properties" xmlns:vt="http://schemas.openxmlformats.org/officeDocument/2006/docPropsVTypes"/>
</file>