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 (3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šie likuma grozījumi skatāmi kopsakarā ar finansēšanas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modeļa “Programma skolā” (06.11.2024. versija) kvalitātes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kritērijiem, tostarp ar izglītojamo skaitu attiecīgajā klašu grupā,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vai par atbilstošu plānotajiem Ministru kabineta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noteiktajiem rādītājiem un līdz ar to arī atbilstošu valsts budžeta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finansējumam pedagogu darba samaksai pilnā apmērā būtu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uzskatāma turpmāk aprakstītā situācija. Pašvaldības dibinātā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iestāde 1.–3. klašu grupā tikai atsevišķās klasēs (nevis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visā klašu grupā kopumā) īsteno visu mācību procesu, izmantojot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alternatīvās pedagoģijas metodoloģiju. Šajās atsevišķajās klasēs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kopējais izglītojamo skaits sasniedz modelī “Programma skolā”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noteikto kvalitātes kritēriju – 30 skolēni (06.11.2024. versijas 15.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lpp.).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13.05.2025.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13.05.2025.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