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ka šos uzdevumus atzīst par aktualitāti zaudējušiem, jo Saeimā 1. lasījumā pieņemtais likumprojekts "Grozījumi likumā “Par kompensāciju par saimnieciskās darbības ierobežojumiem aizsargājamās teritorijās" piedāvā tikai vienu risinājumu, papildināt likumprojektu tikai ar vienu jaunu, vissarežģītāk īstenojamo kompensācijas veidu - zemes maiņa. Savukārt informatīvais ziņojums "Par priekšlikumiem kompensāciju nodrošināšanai par saimnieciskās darbības ierobežojumiem aizsargājamās teritorijās un iespējamajiem finanšu avotiem kompensāciju segšanai" un darba grupas par kompensāciju jautājumu ietvaros diskutētais likumprojekta priekšlikums paredz arī citus kompensāciju veidus, tostarp paplašināt pretendentu loku zemes atpirkšanai, to attiecinot arī uz citām ĪADT kategorijām un citām ĪADT funkcionālajām zonā un vienreizējus maksājumus par mežaudzi. Attiecīgi ir nepieciešams turpināt darbu pie visiem MK dotajiem uzdevumiem. Aicinām precizēt to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 (Lelda Pamovska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Ministru kabineta 2025. gada 21. janvāra sēdes protokollēmuma (prot. Nr. 3 38. §) “Informatīvais ziņojums “Par aizsargājamo biotopu izplatības un kvalitātes apzināšanas rezultātiem un tālāko rīcību aizsargājamo biotopu labvēlīgas aizsardzības stāvokļa nodrošināšanas un tautsaimniecības nozaru attīstības interešu sabalansēšanai”” 6.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MK protokollēmuma 6. punktā minētais uzdevums joprojām ir aktuāls, jo nepieciešama politiska vienošanās par ES Bioloģiskās daudzveidības stratēģijas 2030 mērķu sasniegšanu Latvijā, kas noteiktu līdz 30% Latvijas teritorijas bioloģiskās daudzveidības aizsardzībai, tostarp līdz 2030. gadam ietverot 10 % stingri aizsargātās platības, un nosakot jaunas īpaši aizsargājamas dabas teritorijas. Nacionālais Dabas atjaunošanas plāns šo jautājumu nerisina.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 (Lelda Pamovska (ZM)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29.06.2026.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29.06.2026.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