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"Notekūdeņu dūņu pārstrāde"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Notekūdeņu dūņu apsaimniekošanas procesa daļa, kas ietver notekūdeņu dūņu apstrādi un pārstrādi, mainot to struktūru, ir sabiedrisks ūdenssaimniecības pakalpojums ar vispārēju tautsaimniecisku nozīmi un sabiedrisko ūdenssaimniecības pakalpojumu sniedzējam komercdarbības atbalsts notekūdeņu dūņu apstrādei un pārstrādei tiek sniegts saskaņā ar Eiropas Komisijas lēmumu Nr.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 pantu lēmums ir saistošs tikai tā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vairākkārt ietvertas tiešas atsauces uz </w:t>
            </w:r>
            <w:r w:rsidR="00000000" w:rsidRPr="00000000" w:rsidDel="00000000">
              <w:rPr>
                <w:i w:val="1"/>
                <w:rtl w:val="0"/>
              </w:rPr>
              <w:t xml:space="preserve">Komisijas 2025. gada 16. decembra Lēmumu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r w:rsidR="00000000" w:rsidRPr="00000000" w:rsidDel="00000000">
              <w:rPr>
                <w:rtl w:val="0"/>
              </w:rPr>
              <w:t xml:space="preserve"> (turpmāk – Lēmums), tostarp paredzot finansējuma saņēmējam pienākumu ievērot Lēmumā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pēc sava tiesiskā rakstura nosaka nosacījumus, ar kuriem dalībvalstu piešķirtā kompensācija par pakalpojumu ar vispārēju tautsaimniecisku nozīmi ir uzskatāma par saderīgu ar iekšējo tirgu un ir atbrīvota no Līguma par Eiropas Savienības darbību 108. panta 3. punktā paredzētā iepriekšējas paziņošanas pienākuma. Līdz ar to Lēmuma prasību izpilde primāri ir dalībvalsts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noteikumu projekta izriet, ka atsevišķas Lēmumā ietvertās prasības paredzēts tieši attiecināt arī uz finansējuma saņēmējiem. Vēršam uzmanību, ka gadījumā, ja Lēmumā dalībvalstij noteikto pienākumu izpildei ir nepieciešams noteikt pienākumus privātpersonām, attiecīgās prasības ir ietveramas nacionālajā normatīvajā regulējumā pietiekami skaidri un konkrēti, nevis privātpersonas pienākumu formulējot vienīgi ar vispārīgu atsauci uz Lēmuma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visas noteikumu projektā ietvertās atsauces uz Lēmumu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konkrētas Lēmuma prasības ir nepieciešams attiecināt uz finansējuma saņēmēju vai citu privātpersonu, attiecīgos pienākumus pēc būtības ietvert noteikumu projektā, nodrošinot, ka privātpersonas tiesības un pienākumi ir skaidri noteikti nacionālā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konkrētā Lēmuma norma nosaka pienākumu vienīgi dalībvalstij vai kompetentajai valsts institūcijai un nav tieši izpildāma privātpersonai, noteikumu projektā svītrot atsauci uz Lēmumu, kas rada iespaidu, ka privātpersonai ir pienākums tieši piemērot Lēmuma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attiecīgi precizēt anotācijas 5.4. sadaļu un pilnībā un korekti atspoguļot Lēmuma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kā katra noteikumu projektā ietvertā atsauce uz Lēmumu ir piemērojama un kura institūcija ir atbildīga par attiecīgās Lēmuma prasības izpildes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ir sabiedrisko ūdenssaimniecības pakalpojumu sniedzējs vai komersants, kuram projekta iesniegšanas brīdī ir sabiedrisko ūdenssaimniecības pakalpojumu sniedzēja statuss un ar pašvaldību noslēgts līgums par sabiedrisko ūdenssaimniecības pakalpojumu sniegšanu, tajā skaitā par attiecīgo notekūdeņu dūņu apsaimniekošanas pakalpojumu sniegšanu. Projekta iesniedzēja darbība atbilst Saimniecisko darbību statistiskās klasifikācijas Eiropas Kopienā (NACE) 2.1. redakcijas E sadaļas 37. vai 38. nodaļai.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 un 21. punktu, nepārprotami nosakot subjektu loku, kas ir tiesīgs iesniegt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Ūdenssaimniecības pakalpojumu likumu sabiedrisko ūdenssaimniecības pakalpojumu sniedzējs var būt komersants, iestāde vai kooperatīvā sabiedrība. Savukārt noteikumu projekta 20. punktā izmantots formulējums “sabiedrisko ūdenssaimniecības pakalpojumu sniedzējs vai komersants”, bet 21. punktā projekta iesniedzējs raksturots tikai kā lielais, vidējais vai mazais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noteikumu projekta nav viennozīmīgi secināms, vai projekta iesniegumu var iesniegt arī iestāde vai kooperatīvā sabiedrība, ja tā atbilst sabiedrisko ūdenssaimniecības pakalpojumu sniedzēja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anotācijā norādīts, ka sabiedrisko ūdenssaimniecības pakalpojumu sniedzējs var būt komersants, iestāde vai kooperatīvā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nodrošināt vienotu un nepārprotamu projekta iesniedzēja definīciju un, ja noteikts subjektu loks tiek izslēgts no atbalsta saņēmējiem, attiecīgo ierobežojumu pamatot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konkursa ietvaros atbalsts tiek sniegts kā kompensācija par sabiedriskajiem pakalpojumiem uzņēmumiem, kuriem uzticēts sniegt pakalpojumus ar vispārēju tautsaimniecisku nozīmi, tad piemērojami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32. punktā ietverto regulējumu un nodrošināt tā pilnīgu atbilstību Komisijas 2025. gada 16. decembra Lēmuma (ES) 2025/2630 prasībām par kompensāciju par sabiedriskajiem pakalpojumiem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punktā paredzēti atsevišķi pilnvarojuma nosacījumi, tomēr no normas nav nepārprotami secināms, ka pilnvarojuma aktā tiek ietverti visi Komisijas Lēmuma (ES) 2025/2630 4. pantā prasītie elementi, tostarp sabiedriskā pakalpojuma pienākuma saturs un ilgums, kompensācijas aprēķina, kontroles un pārskatīšanas parametri, kā arī pārkompensācijas novēršanas un atgūšanas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būtu skaidri nosakāms pārkompensācijas kontroles mehānisms, tostarp institūcija, kura pārbaudi veic, pārbaudes periods, ieņēmumu no notekūdeņu dūņu pārstrādes rezultātā iegūto produktu izmantošanas uzskaite un pārkompensācijas atgūšanas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atbalsts primāri paredzēts kā kompensācija par sabiedriskajiem pakalpojumiem un ka no gala produktu komerciālas izmantošanas gūtie ieņēmumi ir ņemami vērā kompensācijas aprēķinā.  Līdz ar to attiecīgajam mehānismam jābūt pietiekami skaidri noregulētam arī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noteikumu projekta 32. punktu un ar to saistītās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ja tiek konstatēta neatbilstība vienam vai vairākiem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precizējamiem administratīvās vērtēšanas kritērijiem, tajā skaitā arī aritmētiskas kļūdas, Vides investīciju fonds, pamatojoties uz vērtēšanas komisijas vērtējumu, informē projekta iesniedzēju par konstatētajām neatbilstībām un aicina precizēt projekta iesniegumu atbilstoši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70.3. apakšpunkts paredz, ka gadījumā, ja tiek konstatēta neatbilstība vienam vai vairākiem precizējamiem administratīvās vērtēšanas kritērijiem, Vides investīciju fonds informē projekta iesniedzēju par konstatētajām neatbilstībām un aicina precizēt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72. punkts vispārīgi paredz, ka, ja projekta iesniegumā nav informācijas vai tā ir nepilnīga, lai izvērtētu projekta iesnieguma atbilstību vienam vai vairākiem kritērijiem, projekta iesniegumu uzskata par neatbilstošu attiecīgajam administratīvās vērtēšanas kritērijam vai attiecīgajā kvalitātes vērtēšanas kritērijā tam piešķir zemāko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nav viennozīmīgi secināms, vai noteikumu projekta 72. punktā paredzētās sekas piemērojamas arī gadījumos, kad informācijas trūkums vai nepilnīgums attiecas uz precizējamu administratīvās vērtēšanas kritēriju. Šāda interpretācija būtu pretrunā noteikumu projekta 70.3.–70.5. apakšpunktā paredzētajai precizēšanas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72. punktu, skaidri nosakot tā piemērošanas tvērumu un saglabājot projekta iesniedzēja tiesības precizēt projekta iesniegumu gadījumos, kad neatbilstība attiecas uz precizējamu administratīvās vērtēšanas kritēriju.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Ja finansējuma saņēmējs neievēro šo noteikumu prasības vai projektā tiek konstatētas neatbilstības, finansējuma saņēmējam ir pienākums atmaksāt neatbilstoši izlietoto finansējumu normatīvajos aktos par finanšu instrumenta finansējuma izmantošanu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101. un 102. punktu, pilnībā nosakot neattiecināmā Emisijas kvotu izsolīšanas instrumenta finansējuma atgūšanas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Klimatnoturības un ekonomiskās ilgtspējas likuma 15. panta astotās daļas 2. punkts pilnvaro Ministru kabinetu projektu iesniegumu konkursu nolikumos noteikt arī neattiecināmo Emisijas kvotu izsolīšanas instrumenta līdzekļu atgūšanas nosacījumus un kārtību. Savukārt noteikumu projekta 101. punktā paredzēta vispārīga atsauce uz normatīvajos aktos par finanšu instrumenta finansējuma izmantošanu noteikto kārtību, bet 102. punktā paredzētas Vides investīciju fonda tiesības piemērot finanšu korekciju vai pieprasīt finansējuma atmaksu, nenosakot gadījumus, nosacījumus un procedūru, kādā nosakāms atmaksājamā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likumdevējs minētā regulējuma noteikšanu ir deleģējis Ministru kabinetam tieši konkursa nolikumā, vispārīga atsauce uz citiem normatīvajiem aktiem nav uzskatāma par pietiekamu deleģējuma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projekta 53. punktā regulētā nelikumīga komercdarbības atbalsta atgūšana nav pielīdzināma visiem gadījumiem, kuros EKII finansējums var tikt atzīts par neattiecināmu.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noteikumu projektu ar skaidru neattiecināmā finansējuma atgūšanas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4. pielikuma 1. kvalitātes kritēriju kopsakarā ar noteikumu projekta 41. un 49. punktu un Komisijas Regulas (ES) Nr. 651/2014 prasību par atbalsta stimulējošo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4. pielikuma 1. kvalitātes kritērijam augstākais punktu skaits cita starpā piešķirams projektam, ja ir veikts būvdarbu vai iekārtu iepirkums un publicēts paziņojums par līguma slēgšanas tiesību piešķiršanu. Vienlaikus noteikumu projekta 41. un 49. punktā paredzēta prasība ievērot Regulas (ES) Nr. 651/2014 noteikumus par stimulējošo ietekmi un darbu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vērtēšanas sistēma var mudināt projekta iesniedzēju pirms projekta iesnieguma iesniegšanas nonākt tādā iepirkuma procesa stadijā, kurā radušās juridiski saistošas saistības un līdz ar to var tikt apdraudēta stimulējošās ietekmes prasības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kvalitātes kritēriju tā, lai augstāka projekta gatavības pakāpe neradītu risku Regulas (ES) Nr. 651/2014 stimulējošās ietekmes prasību pārkāpumam, kā arī attiecīgo risinājumu pamatot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4. pielikuma 3. kvalitātes kritērijā par atklāta tipa kompostēšanu atklātā vai daļēji nosegtā laukumā vienā gadījumā paredzēti divi punkti, savukārt citā pēc būtības identiski formulētā gadījumā — nulle punktu. No kritērija nav iespējams objektīvi noteikt, kādas pazīmes atšķir abus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kritērija redakcija nenodrošina pietiekamu tiesisko noteiktību un objektīvu un vienveidīgu projektu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4. pielikuma 6. kvalitātes kritērijā ietverta savstarpēji neatbilstoša atsauce uz SEG emisiju aprēķina metodiku, vienā vietā norādot 1. pielikumu, bet citā — 4.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 pielikumu, novēršot minētās pretrunas un nodrošinot viennozīmīgus un objektīvi piemērojamus kvalitātes vērtēšanas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pielikuma 7. kvalitātes vērtēšanas kritērijā noteiktos notekūdeņu dūņu pārstrādes siltumnīcefekta gāzu emisiju samazinājuma efektivitātes intervālus.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kritērijā noteikts, ka trīs punktus piešķir, ja ΔE_neto ≥ 4,0 t CO₂ ekv./t dūņu sausnas gadā, divus punktus – ja ΔE_neto ≥ 3,0 t CO₂ ekv./t dūņu sausnas gadā, savukārt vienu punktu – ja ΔE_neto ≥ 2,0 t CO₂ ekv./t dūņu sausnas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kritērijā noteiktie intervāli savstarpēji pārklājas. Piemēram, projekts, kura ΔE_neto vērtība ir 4,0 vai lielāka, vienlaikus atbilst gan trīs, gan divu, gan viena punkta saņemšanas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kritērija redakcija nenodrošina viennozīmīgu un objektīvu projektu iesniegumu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savstarpēji nepārklājošus vērtību intervālus, piemēram, paredzot atsevišķas robežas vērtībām “ΔE_neto ≥ 4,0”, “3,0 ≤ ΔE_neto &lt; 4,0”, “2,0 ≤ ΔE_neto &lt; 3,0” un “ΔE_neto &lt; 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atbalsts tiek sniegts šo noteikumu 36.1. apakšpunktā noteiktajā kārtībā, atbalstu nepiešķir projekta iesniedzējam, kas atbilst vismaz vienai no regulas Nr. 651/2014 2. panta 18. punktā vai regulas, kas to aizstās paredzētajām grūtībās nonākuša komersanta pazīmēm. Grūtībās nonākuša komersanta pazīmes vērtē individuāli projekta iesniedzējam un tā saistīto personu grupai. Grūtībās nonākuša komersanta pazīmes pārbauda uz komercdarbības atbalsta piešķiršanas brīdi, kad pieņemts lēmumu par projekta iesnieguma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pārformulēt noteikumu projekta 23. punktā ietverto atsauci uz “regulu, kas to aizstās”.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aktā nav vēlams iepriekš attiecināt regulējumu uz nākotnē pieņemamu Eiropas Savienības tiesību aktu, kura saturs nav zināms. Ja Komisijas Regula (ES) Nr. 651/2014 tiks aizstāta ar citu Eiropas Savienības tiesību aktu, būs nepieciešams izvērtēt jaunā regulējuma saturu un nepieciešamības gadījumā attiecīgi grozīt Ministru kabineta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ir radušās pēc šo noteikumu stāšanās spēkā, bet ne vēlāk kā pēc projekta īstenošanas beigu termiņa, šo noteikumu </w:t>
            </w:r>
            <w:r w:rsidR="00000000" w:rsidRPr="00000000" w:rsidDel="00000000">
              <w:rPr>
                <w:rtl w:val="0"/>
              </w:rPr>
              <w:t xml:space="preserve">27.1.</w:t>
            </w:r>
            <w:r w:rsidR="00000000" w:rsidRPr="00000000" w:rsidDel="00000000">
              <w:rPr>
                <w:rtl w:val="0"/>
              </w:rPr>
              <w:t xml:space="preserve"> apakšpunktā minētās izmaksas ir attiecināmas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un anotācijas regulējumu par izmaksu attiecināmības sākuma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28.3. un 60. punktā paredzēts, ka attiecīgās izmaksas ir attiecināmas no 2026. gada 1. janvāra, savukārt anotācijā joprojām norādīts, ka būvprojekta izstrādes izmaksas var tikt attiecinātas no 2021.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vienu un to pašu regulējumu saglabāt gan noteikumu projekta 28.3., gan 60. punktā, ievērojot normatīvo aktu juridiskās tehnikas prasību nedublēt vienu un to pašu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sadaļā ietverto informāciju par noteikumu projekta atbilstību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vairākās anotācijas 5.4. sadaļas tabulās norādītās atsauces uz noteikumu projekta vienībām neatbilst noteikumu projekta aktuālajai redakcijai. Tāpat atsevišķos gadījumos norādīts, ka Eiropas Savienības tiesību aktu prasības ir ieviestas pilnībā, lai gan norādītā noteikumu projekta vienība attiecīgo regulējumu neietver.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5.4. sadaļas tabulas atbilstoši noteikumu projekta aktuālajai redakcijai, pārbaudot norādīto atsauču pareizību un informāciju par Eiropas Savienības tiesību aktu prasību ieviešanas pakāpi.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w:t>
    </w:r>
    <w:r>
      <w:br/>
    </w:r>
    <w:r w:rsidR="00000000" w:rsidRPr="00000000" w:rsidDel="00000000">
      <w:rPr>
        <w:rtl w:val="0"/>
      </w:rPr>
      <w:t xml:space="preserve">Izdrukāts 31.08.2026.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w:t>
    </w:r>
    <w:r>
      <w:br/>
    </w:r>
    <w:r w:rsidR="00000000" w:rsidRPr="00000000" w:rsidDel="00000000">
      <w:rPr>
        <w:rtl w:val="0"/>
      </w:rPr>
      <w:t xml:space="preserve">Izdrukāts 31.08.2026.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Atzinumi_25-TA-205.docx</dc:title>
</cp:coreProperties>
</file>

<file path=docProps/custom.xml><?xml version="1.0" encoding="utf-8"?>
<Properties xmlns="http://schemas.openxmlformats.org/officeDocument/2006/custom-properties" xmlns:vt="http://schemas.openxmlformats.org/officeDocument/2006/docPropsVTypes"/>
</file>