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jūnija noteikumos Nr. 349 "Noteikumi par aizdevumu programmu pret Ukrainu vērstās Krievijas militārās agresijas radīto ekonomisko seku mazināšanai"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visas noteikumu projektā paredzētās izmaiņas. Vēršam uzmanību, ka anotācijā nav sniegts pamatojums noteikumu projekta 1.2. apakšpunktā jaunā redakcijā izteiktajam noteikumu 10. punktam. Saistībā ar izmaiņām lūdzam arī izvērtēt, vai nav papildināma anotācijas 5.4. sadaļas 1. tabula ar informāciju par Eiropas Komisijas 2022. gada 28. oktobra paziņojuma “Krīzes pagaidu regulējums valsts atbalsta pasākumiem, ar ko atbalsta ekonomiku pēc Krievijas agresijas pret Ukrainu” (2022/C 426/01) pārņemto attiecīgo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izvērstāk skaidrot noteikumu projekta 1.3. apakšpunktā paredzētās izmaiņas noteikumu 12. punktā, ņemot vērā, ka anotācijā ietvertais skaidrojums būtībā skaidro normu (precīzāk, 12. punkta 2. teikumu) jau tās pašreizējā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aizdevumu programmu pret Ukrainu vērstās Krievijas militārās agresijas radīto ekonomisko seku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noteikumu projekta pamatinformācijā ietvertā skaidrojuma par steidzamības piemērošanu nav pilnībā skaidrs, kāds ir pamatojums steidzamības piemērošanai, tostarp nav skaidrs, saistībā ar kādu valstij nelabvēlīgu seku iestāšanos nepieciešams jautājumu risināt nekavējoties. Vēršam uzmanību, ka saskaņā ar Ministru kabineta 2021. gada 7. septembra noteikumu Nr. 606 55.2. apakšpunktu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un steidzamība </w:t>
            </w:r>
            <w:r w:rsidR="00000000" w:rsidRPr="00000000" w:rsidDel="00000000">
              <w:rPr>
                <w:u w:val="single"/>
                <w:rtl w:val="0"/>
              </w:rPr>
              <w:t xml:space="preserve">jāpamato pēc būtības, norādot konkrētās nelabvēlīgās sekas</w:t>
            </w:r>
            <w:r w:rsidR="00000000" w:rsidRPr="00000000" w:rsidDel="00000000">
              <w:rPr>
                <w:rtl w:val="0"/>
              </w:rPr>
              <w:t xml:space="preserve">. Attiecīgi lūdzam sniegt izvērstāku skaidrojumu par steidzamības piemērošanu vai virzīt projektu saskaņošanai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līdz 2023. gada 31. decembrim, ja ir pieņemts Eiropas Komisijas lēmums par atbalsta saderību ar Eiropas Savienības iekšējo tirgu (turpmāk – Eiropas Komisijas 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288.pantu lēmumi, kuros ir norādīti konkrēti adresāti, ir saistoši tikai šiem adresātiem. Ja lēmumu adresāts ir dalībvalstis un ir nepieciešams to normas padarīt saistošas privātpersonām, tad lēmumi ir jāpārņem valsts tiesību sistēmā tāpat kā direktīvas, un uz tiem neiekļauj atsauces ārējos normatīvajos tiesību aktos. Attiecīgi lūdzam projektā svītrot atsauces uz Eiropas Komisijas lēmumiem un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22-TA-3312</w:t>
    </w:r>
    <w:r>
      <w:br/>
    </w:r>
    <w:r w:rsidR="00000000" w:rsidRPr="00000000" w:rsidDel="00000000">
      <w:rPr>
        <w:rtl w:val="0"/>
      </w:rPr>
      <w:t xml:space="preserve">Izdrukāts 16.11.2022.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22-TA-3312</w:t>
    </w:r>
    <w:r>
      <w:br/>
    </w:r>
    <w:r w:rsidR="00000000" w:rsidRPr="00000000" w:rsidDel="00000000">
      <w:rPr>
        <w:rtl w:val="0"/>
      </w:rPr>
      <w:t xml:space="preserve">Izdrukāts 16.11.2022.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Atzinumi_22-TA-3312.docx</dc:title>
</cp:coreProperties>
</file>

<file path=docProps/custom.xml><?xml version="1.0" encoding="utf-8"?>
<Properties xmlns="http://schemas.openxmlformats.org/officeDocument/2006/custom-properties" xmlns:vt="http://schemas.openxmlformats.org/officeDocument/2006/docPropsVTypes"/>
</file>