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28.2.7. veselības apdrošināšanas izmaksas finansējuma saņēmēja projekta vadības un īstenošanas personālam, ja veselības apdrošināšana paredzēta finansējuma saņēmēja iestādē, kas līdz atbildīgās iestādes izstrādātās vienkāršoto izmaksu metodikas personāla izmaksām apstiprināšanai ir attiecināmas kā faktiskās izmaksas. Ja personāls ir nodarbināts normālo darba laiku, veselības apdrošināšanas izmaksas ir attiecināmas 100 procentu apmērā. Ja personāls ir nodarbināts nepilnu darba laiku, veselības apdrošināšanas izmaksas nosakāmas atbilstoši nepilnā darba laika noslodzei. Veselības apdrošināšanas izmaksas ir attiecināmas tikai laikposmā, kad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7.15.2.3.apakšpunktā ietverto atsauci apdrošināšanas izmaksas ir uzskatāmas par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redakciju, šīs izmaksas iekļaujot pie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28.2.8. obligāto veselības pārbaužu un redzes korekcijas līdzekļu kompensācijas izmaksas, ja tās nav iekļautas šo noteikumu </w:t>
            </w:r>
            <w:r w:rsidR="00000000" w:rsidRPr="00000000" w:rsidDel="00000000">
              <w:rPr>
                <w:rtl w:val="0"/>
              </w:rPr>
              <w:t xml:space="preserve">28.2.7.</w:t>
            </w:r>
            <w:r w:rsidR="00000000" w:rsidRPr="00000000" w:rsidDel="00000000">
              <w:rPr>
                <w:rtl w:val="0"/>
              </w:rPr>
              <w:t xml:space="preserve"> apakšpunktā minētajā veselības apdrošināšanā, finansējuma saņēmēja projekta vadības un īstenošanas personālam, kas līdz atbildīgās iestādes izstrādātās vienkāršoto izmaksu metodikas personāla izmaksām apstiprināšanai ir attiecināmas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7.15.2.2.apakšpunktā ietverto atsauci redzes korekcijas līdzekļu kompensācijas izmaksas ir uzskatāmas par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obligāto veselības pārbaužu izmaksas iekļaut projekta netiešajās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līdz vienošanās par projekta īstenošanu noslēgšanai ar Centrālo finanšu un līgumu aģentūru 4.2.3.4. pasākuma īstenošanai nepieciešamo finansējumu attiecināmo izmaksu, kas radušās ne agrāk kā 2023.gada 1.maijā, segšanai Jaunatnes starptautisko programmu aģentūrai kā 4.2.3.4. pasākuma plānotajam finansējuma saņēmējam 149 000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detalizētiem aprēķiniem, kas pamato 4.2.3.4. pasākumam nepieciešamo finansējumu līdz vienošanās par projekta īstenošanu noslēgšanai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06.11.2023.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06.11.2023.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