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(LĀB) iebilst pret likumprojekta 3.pantu, tajā paredzot tiesības Nacionālajam veselības dienestam līgumos ar ārstniecības iestādēm iekļaut pienākumu atlīdzināt zaudējumus, maksāt līgumsodu, kā arī noteikt gadījumus, kādos līgumsods maksājams, noteikt līgumsoda apmēru, samaksas un ieturēšanas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LĀB ieskatā kopumā šāds pants neiederas Ārstniecības likumā, bet gan attiecas uz veselības aprūpes finansēšanu un finansēšanas noteikumu izpildi. Attiecīgi regulējums būtu plānojams Veselības aprūpes finansēšanas likumā kā deleģējums Ministru kabinetam, un Ministru kabinetam būtu jānosaka vienoti principi un pieeja līgumsodu noteikšanai un zaudējumu atlīdzībai. Ir nepieņemami tik plašu un neskaidru deleģējumu paredzēt valsts pārvaldes iestādei bez atbilstošas reglamentācijas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biedrības viceprezidents, prezidenta p.i. M. Pļaviņš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Maira Sudraba-Sangoviča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