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(Pētījumi (Deloitte un Civitta))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uz MK 13.07.2023. sēdi par KZ)</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1.panta 6.punktu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krīzes situācijā Latvijā tiktu nodrošināta apgāde ar naftas produktiem;”.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paredzētajā Enerģētikas likuma 1.panta 6.punktā noteikts, ka drošības rezerves ir noteikta apjoma valsts īpašumā esošie naftas produkti, kas izveidota kā rezerve, </w:t>
            </w:r>
            <w:r w:rsidR="00000000" w:rsidRPr="00000000" w:rsidDel="00000000">
              <w:rPr>
                <w:u w:val="single"/>
                <w:rtl w:val="0"/>
              </w:rPr>
              <w:t xml:space="preserve">lai krīzes situācijā Latvijā</w:t>
            </w:r>
            <w:r w:rsidR="00000000" w:rsidRPr="00000000" w:rsidDel="00000000">
              <w:rPr>
                <w:rtl w:val="0"/>
              </w:rPr>
              <w:t xml:space="preserve"> tiktu nodrošināta apgāde ar naftas produktiem.  Līdz ar to Likumprojektā būtu jānosaka, kāda veida krīzes situācijas Latvijā ir iespējamas, kurās tiks izmantotas drošības rezerves, kā arī jānosaka kārtība, kādā drošības rezerves attiecīgajā krīzes situācijā tiek izmantotas.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(4.pantā paredzētais Enerģētikas likuma 73.pants) attiecas tikai uz enerģētiskās krīzes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minēto, Likumprojekts jāpapildina ar jaunām normām, nosakot, kāda veida krīzes situācijās papildu enerģētiskai krīzei var izmantot drošības rezerves, kā arī nosakot Ministru kabinetam pilnvarojumu noteikti kārtību, kā šādā gadījumā drošības rezerves tiek pārdotas un kam ir tiesības pieprasīt drošības rezervju pārdošanu. Ja minētās normas tiek iekļautas Enerģētikas likuma XI. nodaļā  “Enerģētiskā krīze”, Likumprojektā būtu jāietver norma, ar kuru tiek atbilstoši mainīts Enerģētikas likuma XI. nodaļas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07.09.2023.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07.09.2023.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Atzinumi_23-TA-1852.docx</dc:title>
</cp:coreProperties>
</file>

<file path=docProps/custom.xml><?xml version="1.0" encoding="utf-8"?>
<Properties xmlns="http://schemas.openxmlformats.org/officeDocument/2006/custom-properties" xmlns:vt="http://schemas.openxmlformats.org/officeDocument/2006/docPropsVTypes"/>
</file>