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norādi par konkrētiem 4.3.5.1. pasākuma 1. kārtas ietvaros plānotajiem stratēģiski svarīgajiem projektiem vai norādīt, ka visi attiecīgā pasākuma/atlases kārtas projekti ir uzskatāmi par stratēģiski svarīgiem projektiem, ņemot vērā Programmas 9.sadaļā “Plānoto stratēģiski svarīgo darbību saraksts un to plānotais laika grafiks” norādīto 4.3.5.1. pasākumu. Skaidrojam, ka Atbildīgajai iestādei ir jānodrošina, ka vismaz viens projekts no Programmas 9.sadaļā noteiktā pasākuma noteikumu projektā tiek noteikts kā stratēģiski svarīgs projekts. Programmā norādīto informāciju var mainīt tikai caur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projektā iekļaut pienākumu finansējuma saņēmējam nodrošināt papildus komunikācijas pasākumu (komunikācijas plāns)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un komunikācijas plāna paraugs ir pieejams šeit: https://www.esfondi.lv/normativie-akti-un-dokumenti/2021-2027-planosanas-periods/komunikacijas-un-dizaina-vadlinijas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pirmās kārtas ietvaros pieejamais Eiropas Sociālā fonda Plus finansējums ir izmantojams Eiropas Reģionālā attīstības fonda atbalsta jomas izmaksām sabiedrībā balstītu sociālo pakalpojumu infrastruktūras izveidei un aprīkošanai (turpmāk – infrastruktūras izveides izmaksas), nepārsniedzot 40 185 181 euro no pasākuma pirmajai kārtai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9. punktu ar šķersfinansējuma % apmēru, lai nodrošinātu nepārprotamu izpratni par Programmā apstiprināto ierobežojumu (4.3.5.1.pasākuma “Sabiedrībā balstītu sociālo pakalpojumu pieejamības palielināšana” īstenošanā piemēro šķērsfinansējumu ERAF tipa darbību veikšanai, kas nepārsniedz 53% no 4.3.5.1.pasākuma ESF+ finansējuma, 39% no 4.3.5. SAM un 15% no 4.3. prioritātes ESF+ finansējuma.) nepārsniegšanu.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ietvaros pieejamais Eiropas Sociālā fonda Plus finansējums ir izmantojams Eiropas Reģionālā attīstības fonda atbalsta jomas izmaksām sabiedrībā balstītu sociālo pakalpojumu infrastruktūras izveidei un aprīkošanai (turpmāk – infrastruktūras izveides izmaksas), nepārsniedzot 40 185 181 euro jeb 68,01 % no pasākuma pirmajai kārtai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pirmās kārtas ietvaros projekta minimālā attiecināmo izmaksu kopsumma nav ierobežota.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pastāv iespēja, ka tiks iesniegti arī projekti, kuru kopsumma nepārsniegs 200 000 EUR? Vēršam uzmanību, ka gadījumos, kad projekta kopējās izmaksas nepārsniedz 200 000 EUR (ieskaitot), visas izmaksas sedzamas, piemērojot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pasākumā nav attiecināms šis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kāda ir maksimālā attiecināmo izmaksu kopsumma vienam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(EK) 2023. gada 7. jūlija Deleģētās regulas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6.3. punktā noteiktajam, norādītajās summās ir ietvertas visas darbības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MK noteikumu projektā paredzētais risinājums viena projekta ietvaros paredz gan faktisko izmaksu piemērošanu, gan Eiropas Savienības līmeņa likmju piemērošanu, līdz ar to lūdzam skaidrot, kā tiek nodrošināta regulā noteiktās prasības izpilde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šāds risinājums nenodrošina vienādu pieeju izmaksu segšanā (vienādas izmaksas tiek segtas gan kā faktiskās, gan piemērojot vienkāršotās izmaksas), kā arī šādi netiek nodrošināta dubultā finansējuma neesamība. Lūdzam izvērtēt, vai šajā gadījumā nebūtu nepieciešamas izmaiņas specifiskā atbalsta mērķa (turpmāk - SAM) pasākuma uzbūvē, piemēram, sadalot plānotos atbalstāmos pasākumus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20.1.2.1. iepirkumu līgumu izmaksas, kā arī  nekustamā īpašuma un zemes iegādes izmaksas šo noteikumu 18.1.1., 18.1.2. un 18.1.3. apakšpunktā minēto atbalstāmo darbību īstenošanai, kas nepārsniedz 66 324 </w:t>
            </w:r>
            <w:r w:rsidR="00000000" w:rsidRPr="00000000" w:rsidDel="00000000">
              <w:rPr>
                <w:i w:val="1"/>
                <w:rtl w:val="0"/>
              </w:rPr>
              <w:t xml:space="preserve">euro</w:t>
            </w:r>
            <w:r w:rsidR="00000000" w:rsidRPr="00000000" w:rsidDel="00000000">
              <w:rPr>
                <w:rtl w:val="0"/>
              </w:rPr>
              <w:t xml:space="preserve"> par vienu izveidojamo sabiedrībā balstītu sociālo pakalpojumu sniegšanas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2021/1057, ar ko izveido Eiropas Sociālo fondu Plus (ESF+) un atceļ Regulu (ES) Nr. 1296/2013 16.panta 1.punktu no Eiropas Sociālā fonda Plus nav attiecināmas zemes, nekustamā īpašuma un infrastruktūras iegāde. Lūdzam svītrot noteikumu projekta 20.1.2.1.punktu.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 iepirkumu līgumu izmaksas transportlīdzekļa iegādei un aprīkošanai šo noteikumu 18.1.4. apakšpunktā minētās atbalstāmās darbības īstenošanai, nepārsniedzot 133 400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 1.2. "Vadlīnijas attiecināmo izmaksu noteikšanai Eiropas Savienības kohēzijas politikas programmas 2021.-2027.gada plānošanas periodā" 16.1. apakšpunktā noteikto, transportlīdzekļu iegādes izmaksas nav attiecināmas līdzfinansēšanai no Eiropas Savienības fondiem, izņemot gadījumus, kad Eiropas Reģionālās attīstības fonda, Kohēzijas fonda un Taisnīgas pārkārtošanas fonda projektos transportlīdzekļu iegāde ir nepieciešama projekta mērķa sasniegšanai (piemēram, attiecībā uz videi draudzīgu sabiedrisko transportu), un ja šādos pamatotos gadījumos transportlīdzekļa iegāde kā tiešās attiecināmās izmaksas ir atrunāta Ministru kabineta noteikumos par SAM īstenošanu. Ievērojot minēto, lūdzu precizēt noteikumu projekta 20.1.2.2.punktu vai ietvert izvērstu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20.1.1. apakšpunktā minētā projekta vadības personāla atlīdzības izmaksas nepārsniedz 34 422 </w:t>
            </w:r>
            <w:r w:rsidR="00000000" w:rsidRPr="00000000" w:rsidDel="00000000">
              <w:rPr>
                <w:i w:val="1"/>
                <w:rtl w:val="0"/>
              </w:rPr>
              <w:t xml:space="preserve">euro</w:t>
            </w:r>
            <w:r w:rsidR="00000000" w:rsidRPr="00000000" w:rsidDel="00000000">
              <w:rPr>
                <w:rtl w:val="0"/>
              </w:rPr>
              <w:t xml:space="preserve">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izvērtēt iespēju piemērot citu vienkāršoto izmaksu veidu, attiecīgi izstrādājot metodiku un saskaņojot to ar vadošo iestādi vai sniegt argumentētu pamatojumu anotācijā, kāpēc vienkāršoto izmaksu piemērošana personāla izmaksām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paredzēts piemērot Eiropas Komisijas  2023. gada 1. septembra Deleģētā regulā   2023/1676 noteiktās ES līmeņa vienas vienības izmaksas un netiks izstrādāta vienas vienības izmaksu metodika, lūdzam papildināt anotāciju, norādot rezultātus pamatojošos dokumentus, kas būs par pamatu izdevumu attiecināšanai un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Airisa Žiga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var pretendēt uz atbalstu pasākuma pirmajā kārtā,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ka infrastruktūra un nekustamais īpašums, kurā par projekta īstenošanai piešķirtajiem līdzekļiem tiks veikti ieguldījumi, var atrasties arī citas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uz kāda pamata finansējuma saņēmējs ir tiesīgs veikt ieguldījumus attiecīgajā infrastruktūrā un nekustamajā īpašumā. Vēršam uzmanību, ka finansējuma saņēmēja tiesībām uz konkrēto objektu vai īpašumu jābūt nostiprinātām Zemesgrāmatā (ja attiecināms, t.i., ja minētajam nosacījumam saskaņā ar nacionālo regulējumu ir izņēmums, tas attiecīgi aprakstāms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finansējuma saņēmējs uzņemas segt sadārdzinājumu, ja tāds radīsies.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46.7. apakšpunktā norādi uz normatīvo aktu, ņemot vērā, ka attiecīgie Ministru kabineta 2022. gada 13. decembra noteikumi Nr. 770 "Kārtība, kādā Eiropas Savienības fondu 2021.–2027. gada plānošanas periodā nodrošina ieguldījumu uzraudzību un izvērtēšanu, kā arī izstrādā un uztur Kohēzijas politikas fondu vadības informācijas sistēmu" neregulē personas datu apstrādes, identificēšanas un uzskaites kārtību un apjomu projekta īstenošanas un maksājumu pieprasījumu sagatavošanas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(ES) Nr. 480/2014 nosacījumi nav attiecināmi uz šo plānošanas periodu, kā arī noteikumos jāparedz rīcība gadījumos, kad komercdarbības atbalsta izslēdzošie nosacījumi netiek ievēroti, lūdzam šo noteikumu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šo noteikumu 46.11. punktā minētajā periodā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 Ja šo noteikumu 46.11. punktā minētajā periodā vai ieguldījumu amortizācijas periodā kļūst par infrastruktūru, kas saistīta ar saimniecisko darbību, kurai sniegtais atbalsts būtu kvalificējams kā komercdarbības atbalsts, finansējuma saņēmējs atmaksā sadarbības iestādei nelikumīgo atbalstu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pie MK noteikumu projekta III.nodaļas izteikto iebildumu attiecībā SAM pasākuma dizaina jautājumu, taču gadījumā, ja Eiropas Savienības līmeņa likmes tiks piemērotas, vēršam uzmanību, ka nav pieļaujamas atkāpes no Eiropas Komisijas (EK) 2023. gada 7. jūlija Deleģētajā regulā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 tāpēc aicinām izvērtēt, vai anotācijā ietvertais skaidrojums par dienas likmes piemērošanu gadījumā, ja klients dienas aprūpes centrā/ darbnīcā pavada īsāku laiku, bet likme joprojām ir piemērojama, kā arī papildinājums par pakalpojumā ietvertajām papildu komponentēm, būtu korekts.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2023. gada 1. septembra Deleģētā regulā  2023/1676 noteiktā dienas likme ir aprēķināta par 8 kontaktstundām, kad persona ir</w:t>
            </w:r>
            <w:r w:rsidR="00000000" w:rsidRPr="00000000" w:rsidDel="00000000">
              <w:rPr>
                <w:u w:val="single"/>
                <w:rtl w:val="0"/>
              </w:rPr>
              <w:t xml:space="preserve"> saņēmus</w:t>
            </w:r>
            <w:r w:rsidR="00000000" w:rsidRPr="00000000" w:rsidDel="00000000">
              <w:rPr>
                <w:rtl w:val="0"/>
              </w:rPr>
              <w:t xml:space="preserve">i sabiedrībā balstītos dienas aprūpes centra pakalpojumus. Attiecīgi lūdzam precizēt anotācijas sadaļas "SBSP sniegšanas vienkāršotās izmaksas" dienas aprūpes centra un specializētās darbnīcas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Airisa Žiga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pie atbalstāmās darbības "SBSP sniegšana" nodrošināt aprakstu par attiecīgo darbību- šobrīd ir apraksts par informācijas un publicitātes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Airisa Žiga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8.punktu daļa no pasākuma attiecināmā finansējuma tiek segta no pašvaldību budžeta, un anotācijas 3.sadaļas 6.punktā arī sniegta informācija par pašvaldības budžeta finansējumu. Ņemot vērā minēto, lūdzam anotācijas 3.sadaļas 2.3.punktā norādīt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3. punktā minētajām mērķa grupas personām un citiem teritorijas un būves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skaidrojumu par teritorijas labiekārtošanu, iespēju robežās norādot piemērus teritoriju atpūtas un brīvā laika pavadīšanai, rehabilitācijai un rekreācijai - kādi labiekārtošanas elementi un veidi tiks atbalstīti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Elvīra Prokofjeva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23.1. un 23.2.apakšpunktā norādītās ES līmeņa likmes ir noteiktas atbilstoši 2021.g. cenām, lūdzam izvērtēt nepieciešamību tās indeksēt saskaņā ar Eiropas Komisijas 2023. gada 1. septembra Deleģētā regulā  2023/1676 norādīto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Airisa Žiga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sabiedrībā balstītu dienas aprūpes pakalpojumu (dienas aprūpes centrs un specializētās darbnīca) sniegšanas izmaksas – 66 </w:t>
            </w:r>
            <w:r w:rsidR="00000000" w:rsidRPr="00000000" w:rsidDel="00000000">
              <w:rPr>
                <w:i w:val="1"/>
                <w:rtl w:val="0"/>
              </w:rPr>
              <w:t xml:space="preserve">euro</w:t>
            </w:r>
            <w:r w:rsidR="00000000" w:rsidRPr="00000000" w:rsidDel="00000000">
              <w:rPr>
                <w:rtl w:val="0"/>
              </w:rPr>
              <w:t xml:space="preserve"> dienā vienai šo noteikumu 3. punktā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dienas aprūpes centrs strādās pilnu darba dienu, bet nepieciešamais pakalpojuma apjoms tiks pielāgots individuāli atbilstoši katras personas vajadzībām, lūdzam izvērtēt, vai nebūtu atbilstošāk piemērot stundas likmi. Vēršam uzmanību, ka dienas likme ir noteikta par 8 kontaktstundām.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Airisa Žiga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pirmās kārtas ietvaros šo noteikumu 18. punktā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pašvaldība, noteikumu projektā ietver nosacījumu, ka finansējuma saņēmējs avansa pieprasījumu sagatavo, un sadarbības iestāde avansa pieprasījumu apstiprina, ievērojot, ka avansa un starpposma maksājumu kopsumma </w:t>
            </w:r>
            <w:r w:rsidR="00000000" w:rsidRPr="00000000" w:rsidDel="00000000">
              <w:rPr>
                <w:u w:val="single"/>
                <w:rtl w:val="0"/>
              </w:rPr>
              <w:t xml:space="preserve">nepārsniedz 90 procentus</w:t>
            </w:r>
            <w:r w:rsidR="00000000" w:rsidRPr="00000000" w:rsidDel="00000000">
              <w:rPr>
                <w:rtl w:val="0"/>
              </w:rPr>
              <w:t xml:space="preserve"> no projektam piešķirtā Eiropas Sociālā fonda  finansējuma un valsts budžeta līdzfinansējuma kopsummas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2023. gada 25. aprīļa noteikumu Nr. 205  "Valsts budžeta līdzekļu plānošanas kārtība Eiropas Savienības fondu projektu īstenošanai un maksājumu veikšanai 2021.– 2027. gada plānošanas periodā" 17. punktam avansa un starpposma maksājumu kopsummu 100 procentu apmērā iespējama tikai tad,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26. un 27.punktu, kā arī papildināt anotāciju ar skaidrojumu par avansa un starpposma maksājumu kopsummas konkrētā apmēra nepieciešamību un iekļaut informāciju par avansa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nodrošina, ka projektā plānotās atbalstāmās darbības netiek finansētas vai līdzfinansētas, kā arī tās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46.1. apakšpunktu ar norādi, ka finansējuma saņēmējs nodrošina arī dubultā finansējuma neiestāšanos. Vēršam uzmanību, ka projekta īstenošanā nodrošināma ne tikai nepārklāšanās ar citiem finanšu instrumentiem, bet arī tas, lai darbība netiktu finansēta tā paša projekta īstenošanai piešķirtā finansējuma ietvaros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46.2.2. apakšpunktā noteikto, lūdzam papildināt anotācijas 1.3. sadaļu ar informāciju,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pirmās kārtas ietvaros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iesniedzēji ir pašvaldības vai to izveidoti sociālo pakalpojumu sniedzēji. Ievērojot minēto, aicinām izvērtēt pašvaldību izveidoto sociālo pakalpojumu sniedzēju juridisko statusu, ar kuriem plānots slēgt līgumu vai vienošanos par projekta īstenošanu un precizēt noteikumu projekta 50.punktu, ja nepieciešams papildinot, ka tiek slēgti arī līgumi par projekta īstenošanu. Vienlaikus vēršam uzmanību, ka noteikumu projekta 15.punktā ir norādīti abi līgumu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demarkāciju starp 2014.-2020. gada plānošanas (turpmāk - 14-20) perioda 9.3.1. specifiskā atbalsta mērķa un 2021.-2027. gada plānošanas perioda (turpmāk - 21-27) 4.3.1. specifisko atbalsta mērķi. Tostarp precizēt, vai ir atbalstāmas situācijas, kurās 21-27 4.3.1.5. pasākuma ietvaros pakalpojumu sniegšanas vietas tiek izveidotas infrastruktūrā, kurā jau ir veikti ieguldījumi no 14-20 9.3.1.1. pasākuma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projektu līmenī, t.i. katrā projektā, ir nepieciešams nodrošināt, ka ERAF atbalsta jomas darbības nepārsniedz 53% no ESF+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Finanšu ministrijas pamatbudžeta apakšprogrammā tiks plānots finansējums noteikumu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projektam 4.3.5.1.pasākuma īstenošanai paredzēts ESF+ finansējums un pašvaldības budžeta finansējums, lūdzam svītrot anotācijas 3.sadaļas tabulas 5., 7. un 8.ailes 2.1., 3.1. un 5.1.apakšpuntā norādīto valsts budžeta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07.12.2023.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07.12.2023.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Atzinumi_23-TA-2128.docx</dc:title>
</cp:coreProperties>
</file>

<file path=docProps/custom.xml><?xml version="1.0" encoding="utf-8"?>
<Properties xmlns="http://schemas.openxmlformats.org/officeDocument/2006/custom-properties" xmlns:vt="http://schemas.openxmlformats.org/officeDocument/2006/docPropsVTypes"/>
</file>