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februāra noteikumos Nr. 96 "Nodokļu un citu maksājumu reģistrēšanas elektronisko ierīču un iekārtu lietošanas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121.</w:t>
            </w:r>
            <w:r w:rsidR="00000000" w:rsidRPr="00000000" w:rsidDel="00000000">
              <w:rPr>
                <w:vertAlign w:val="superscript"/>
                <w:rtl w:val="0"/>
              </w:rPr>
              <w:t xml:space="preserve">11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rosina papildināt 121.11 punktu, paredzot iespēju sākt izmantot pilnīgi jaunu kasi pirms tās iesniegšanas atbilstības pārbaudei, </w:t>
            </w:r>
            <w:r w:rsidR="00000000" w:rsidRPr="00000000" w:rsidDel="00000000">
              <w:rPr>
                <w:u w:val="single"/>
                <w:rtl w:val="0"/>
              </w:rPr>
              <w:t xml:space="preserve">iepriekš to saskaņojot 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uzstādīta kase, kas ir 90% identiska iepriekšējai, bet ir paredzēta citam tirdzniecības veidam, piemēram, elektrouzlādēm vai automazgātuvēm, tad atbilstoši regulējumam šādu iekārtu ir nepieciešams reģistrēt no jauna un uz šādiem gadījumiem neattiektos šis 121.11 punkts. Ja būtu iespējams uzstādīt jauna tipa kasi un paralēli to nodot atbilstības pārbaudei, tas ievērojami atvieglotu un veicinātu jaunu projektu ātrāku ieviešanu un mazinātu birokrātiju.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12.02.2025.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24-TA-2285</w:t>
    </w:r>
    <w:r>
      <w:br/>
    </w:r>
    <w:r w:rsidR="00000000" w:rsidRPr="00000000" w:rsidDel="00000000">
      <w:rPr>
        <w:rtl w:val="0"/>
      </w:rPr>
      <w:t xml:space="preserve">Izdrukāts 12.02.2025.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Atzinumi_24-TA-2285.docx</dc:title>
</cp:coreProperties>
</file>

<file path=docProps/custom.xml><?xml version="1.0" encoding="utf-8"?>
<Properties xmlns="http://schemas.openxmlformats.org/officeDocument/2006/custom-properties" xmlns:vt="http://schemas.openxmlformats.org/officeDocument/2006/docPropsVTypes"/>
</file>