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VI nodaļu ar 22.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2. punktā ierosināts ETL 22.2 panta pirmās daļas redakciju, kurā paredzēts regulēt vēja elektrostacijas “vizuālo ietekmi noteiktos saules spīdēšanas apstākļos”. VEA ieskatā šāds formulējums nav juridiski un tehniski precīzs. Tas neidentificē regulējamo ietekmes veidu un var radīt neskaidrības par Ministru kabinetam deleģētā regulējuma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kontekstā būtiska nav vispārīga “vizuālā ietekme noteiktos saules spīdēšanas apstākļos”, bet gan specifiska ietekme, ko rada vēja turbīnu rotējošo lāpstiņu mestā periodiskā ēna jeb ēnas mirgošanas efekts. Līdz ar to ierosinām attiecīgo formulējumu precizēt, aizstājot vārdus “vizuālo ietekmi noteiktos saules spīdēšanas apstākļos” ar juridiski un tehniski korektāku formulējumu - “vēja elektrostacijas rotējošo lāpstiņu radītās ēnas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Līvzeniece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18.05.2026.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18.05.2026.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Atzinumi_26-TA-977.docx</dc:title>
</cp:coreProperties>
</file>

<file path=docProps/custom.xml><?xml version="1.0" encoding="utf-8"?>
<Properties xmlns="http://schemas.openxmlformats.org/officeDocument/2006/custom-properties" xmlns:vt="http://schemas.openxmlformats.org/officeDocument/2006/docPropsVTypes"/>
</file>