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mērķa grupas personu datu apstrādes tiesisko pamatu. Norādām, ka projektā plānotajai personas datu apstrādei kā tiesiskais pamats ir norādāms spēkā esošs ārējais normatīvais akts (-i) un tā norma (-as), no kā ir izsecināma nepieciešamība apstrādāt personu datus projektā paredzētajā veidā, nebūtu norādāms pats 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25.05.2024. 18.26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25.05.2024. 18.26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Atzinumi_23-TA-1107.docx</dc:title>
</cp:coreProperties>
</file>

<file path=docProps/custom.xml><?xml version="1.0" encoding="utf-8"?>
<Properties xmlns="http://schemas.openxmlformats.org/officeDocument/2006/custom-properties" xmlns:vt="http://schemas.openxmlformats.org/officeDocument/2006/docPropsVTypes"/>
</file>