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pakalpojumu onkoloģijas jomā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sabiedriskās apspriedes laikā izteikto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Plāna 5.5. punkta pasākumu (Izstrādāt klīniskā vēža reģistra koncepciju) un 5.9. punkta pasākumu (Izstrādāt vienotu elektronisko konsiliju veidlapu) ir uzlikti jauni pienākumi, kuriem budžets nav paredzēts. Lūdzam skaidrot, kāpēc jaunu pienākumu izpildei nav paredzēts atbilstošs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aizvietot vārdus “elektronisko konsiliju veidlapa” ar vārdiem “Multidisciplinārās komandas (MDK) slēdziena par pacientu ar onkoloģisku slimību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5.9. pasākuma izpildes termiņu uz 2025. gada II pusgadu, ņemot vērā to, ka Plāna projekts TAP iesniegts pirmreizējai starpiestāžu saskaņošanai un Plāna apstiprināšanas termiņš prognozējams 2025. gada 2. pusgadā.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vienotu Multidisciplinārās komandas (MDK) slēdziena par pacientu ar onkoloģisku slimību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2025. gada II pusgads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5.5. pasākumu “Izstrādāt klīniskā vēža reģistra koncepciju” un precizēt atbildīgo institūciju, svītrojot no kolonas “Atbildīgā institūcija” RAKUS metodiskās vadības institūcija onkoloģijas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SPKC nolikuma 4.12.6. apakšpunktam, SPKC veido, uztur un papildina ar noteiktām slimībām slimojošu pacientu reģistru. Atbilstoši Ministru kabineta 2008. gada 15. septembra noteikumu Nr.746 “Ar noteiktām slimībām slimojošu pacientu reģistra izveides, papildināšanas un uzturēšanas kārtība” 3. punktam, noteiktām slimībām slimojošu pacientu reģistra pārzinis un turētājs ir SPKC. Savukārt, saskaņā ar Ministru kabineta 2014. gada 11. marta  noteikumu Nr. 134 “Noteikumi par vienoto veselības nozares elektronisko informācijas sistēmu” 2. punktu, vienotās veselības nozares elektroniskās informācijas sistēmas pārzinis ir Latvijas Digitālās veselības centrs (LDVC).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reģistra koncepcijas izveidē RAKUS metodiskās vadības institūcija onkoloģijas jomā var sniegt atbalstu SPKC, LDVC vai citai atbildīgajai institūcijai.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Kolona “Līdzatbildīgā institūcija”: RAKUS metodiskās vadības institūcija onkoloģijas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kolonā “Atbildīgā institūcija” svītrot RAKUS metodiskās vadības institūcija onkoloģijas jomā un pievienot kolonā “Līdzatbildīgā institūcija” kā līdzatbildīgi RAKUS metodiskās vadības institūciju. onkoloģijas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Kolona: “Atbildīgā institūcija”: BKUS.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Kolona “Līdzatbildīgā institūcija”: RAKUS metodiskās vadības institūcija onkoloģijas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atbildīgās iestādes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Reto slimību koordinācijas centra Bērnu slimnīcā (BKUS) atbalsta vienība “Gaiļezerā”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Kolona: “Atbildīgā institūcija”: Reto slimību koordinācijas centra Bērnu slimnīcā (BKUS) atbalsta vienība “Gaiļezerā”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atbildīgo un līdzatbildīgās institūcijas, t.sk., svītrot RAKUS kā līdzatbildīgo institūciju un pievienot kā līdzatbildīgo institūciju RAKUS metodiskās vadības institūciju onkoloģijas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3.10. pasākuma termiņu precizēt uz 2026. gada II pusgadu.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Kolona “Līdzatbildīgā institūcija”: RAKUS metodiskās vadības institūcija onkoloģijas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 2026. gada II pusgads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ka SPKC ir vadošā institūcija skrīninga jautājumos, lūdzu svītrot 3.1. pasākuma kolonā “Atbildīgā institūcija”  RAKUS metodiskās vadības institūcija onkoloģijas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SPKC.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MVI onkoloģijas jomā ir izveidots RAKUSā un 2.4. pasākums (2.4.1. un 2.4.2. darbības rezultāti) vērsts uz kvalitātes kritēriju noteikšanu krūts vēža onkoloģiskajā aprūpē un pilotēšanu, aicinām kā līdzatbildīgo institūciju noteikt RAKUS metodiskās vadības institūciju onkoloģijas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pasākums (2.4.1. un 2.4.2. darbības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Kolona “Līdzatbildīgā institūcija”: RAKUS metodiskās vadības institūcija onkoloģijas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MVI onkoloģijas jomā ir izveidots RAKUSā un 2.3. pasākums vērsts uz nacionālā līmeņa plāna sagatavošanu onkoloģiskajā aprūpē, aicinām kā līdzatbildīgo institūciju noteikt RAKUS metodiskās vadības institūciju onkoloģijas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Kolona “Līdzatbildīgā institūcija”: RAKUS metodiskās vadības institūcija onkoloģijas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pasākuma termiņš ir noteikts 2026. gada I. pusgads. Lūdzam pārcelt 1.25. pasākuma izpildi uz 2026. gada 2. ceturksni.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25.02.2025. noslēgtajam līgumam starp Veselības ministriju (VM), Nacionālo veselības dienestu (NVD) un RAKUS, tiek apmaksāta metodiskās vadības institūcijas (turpmāk arī - MVI) vadītāja amats (1 nodarbinātais), bet MVI uzdevumu izpildes resurss – koordinatori un eksperti – ir piesaistāmi ārpakalpojumā, t.i., jāveic iepirkums, kas ir laikietilpīgs pasākums. Arī pieejamais finansējums 2026. gadam tiek precizēts un piešķirts 2026. gadā. Iepirkumu labā prakse paredz nesludināt iepirkumu, kamēr netiek piešķirts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II pusgads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3. aprīļa noteikumu Nr. 241 “Slimību profilakses un kontroles centra nolikums” (turpmāk – SPKC nolikums) 3.12. apakšpunkts uzdod Slimību profilakses un kontroles centram (turpmāk – SPKC) nodrošināt valsts organizētā vēža skrīninga programmu vadību; 3.11. apakšpunkts: sagatavot izstrādājamo klīnisko vadlīniju sarakstu, izvērtēt klīniskās vadlīnijas un nodrošināt to ieviešanas metodisko vadību, kā arī 4.23.uzdevums: izvērtēt valsts organizētā vēža skrīninga, tai skaitā jaunās vēža skrīninga, programmas un sagatavot ieteikumus to pilnveidošanai, kā arī nodrošināt programmu un ieteikumu ieviešanu atbilstoši Eiropas Komisijas vēža skrīninga kvalitātes rekomendācijām. Secināms, ka SPKC ir atbildīgā institūcija par skrīninga procesa izveidi, ieviešanu un atbilstošas dokumentācijas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panta 10. daļa nosaka, ka valsts pārvaldi organizē pēc iespējas efektīvi. Secināms, ka funkciju dublēšana nav pieļaujama vairāku institūciju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10. pasākumā (1.10.1., 1.10.2., 1.10.4. darbības rezultāti) un 1.11. pasākumā (1.11.1., 1.11.2., 1.11.3. darbības rezultāti), 1.13.. pasākumā, 1.16. pasākumā (1.16.1., 1.16.2. darbības rezultāti) un 1.22. pasākumā svītrot pasākumu kolonā “Atbildīgā institūcija” RAKUS MVI onkoloģijas jomā un pārcelt uz kolonu “Līdzatbildīgā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pasākums (1.10.1., 1.10.2., 1.10.4. darbības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pasākums (1.11.1., 1.11.2., 1.11.3. darbības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pasākums (1.16.1., 1.16.2. darbības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VM, SPKC.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Dokumenta pielikumā "Plāna projekts (Pielikums_finansējums)" norādīta atsauce "Pasākumu, kam finansējums ir norādīts nulle "0", īstenošanai nepieciešamais finansējums nav precīzi aprēķināms un tiks nodrošināts piešķirto līdzekļu ietvaros" ir jāuztver kā pagaidu risinājums. Vēršam uzmanību, ka visām aktivitātēm būtu jāpievieno skaidri finansiāli aprēķini. Finansiālais ietvars konkrētam pasākumam ir nepieciešams, lai atbildīgās un līdzatbildīgās institūcijas varētu plānot konkrētus soļus, kas ir izmērāmi, lai sasniegtu izvirzītos mērķus. Šādā veidā tiks nodrošināta pasākumu efektivitāte un to saskaņotība ar valsts budžeta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Atsaucoties uz starptautisko praksi un vienotiem standartiem, izvērtēt lietotā termina “konsilijs” lietojumu. Ņemot vērā jaunāko praksi, rekomendējam lietot terminu “multidisciplinārā komanda (MDK)”.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SIA “Rīgas Austrumu klīniskā universitātes slimnīca” (turpmāk – RAKUS) iepriekš iesniegtajam priekšlikumam, kas iekļauts Institūciju sabiedriskās apspriedes laikā izteikto priekšlikumu apkopojumā ar Nr. 137 (69. lpp.) nav norādīta risinājuma atbilde – ir ņemts vērā vai nav ņemts vērā. Vēršam uzmanību, ka tas bija būtisks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pasākums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savlaicīgu un kvalitatīvu priekšvēža stāvokļu ārtēšanas nozīmi kuņģa-zarnu traktā (polipi, augstas pakāpes displāzija) ierosinām papildināt iekavās minēto uzskaitījumu ar “augsta riska polipi un displāzijas kuņģa zarnu traktā”, kā arī pie līdzatbildīgajām institūcijām pievienot ārstu profesionālās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pie 02.06.2025. RAKUS iesniegtā priekšlikuma pie 3.9. pasākuma- Sniedzam priekšlikumu pievienot kā līdzatbildīgo institūciju RAKUS.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Kolona: “Līdzatbildīgā institūcija”: RAKUS.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sadaļa 2.2.Smēķēšana (21.lpp.)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ne tikai tabakas, bet arī tai līdzīgo produktu un e-cigarešu smēķēšanas kaitīgums. Tabaku ne tikai smēķē, bet arī košļā, kaut gan šādas tabakas tirgošana Latvijā ir aizliegta, bet internetā to diezgan vienkārši var iegādāties. RAKUS priekšlikums, šo rindkopu uzrakstīt aktuālāku, atbilstoši šodienas realitātei.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izskatīt iespēju pievienot informāciju par sadarbību ar pacientu biedrībām un to lomu.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III sadaļu “Rīcības virzieni” ar informāciju par Eiropas Vēža uzveikšanas plāna (Eiropas Europe`s Beating Cancer Plan) mērķu un uzdevumu sasaisti ar Veselības aprūpes pakalpojumu onkoloģijas jomā uzlabošanas plānu 2025.–2027.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priekšlikumu pievienot kā līdzatbildīgo institūciju RAKUS.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Kolona: “Atbildīgā institūcija”: RAKUS.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priekšlikumu svītrot 3.8.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Multidisciplināro komandu sanāksmes noris bez pacienta klātbūtnes. Līdz ar to FRM ārsts vai funkcionālais speciālists nevarēs sniegt ieguldījumu tieši “onkokonsīlija”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Preventīvs un agrīns darbs ar pacientu, komplikāciju mazināšana, atbilstoša rehabilitācijas, tehnisko palīglīdzekļu, psihoemocionālā atbalsta nodrošināšana notiek primārā un sekundārā konsultācijā ar pacientu.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03.06.2025. 09.30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03.06.2025. 09.30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Atzinumi_24-TA-3280.docx</dc:title>
</cp:coreProperties>
</file>

<file path=docProps/custom.xml><?xml version="1.0" encoding="utf-8"?>
<Properties xmlns="http://schemas.openxmlformats.org/officeDocument/2006/custom-properties" xmlns:vt="http://schemas.openxmlformats.org/officeDocument/2006/docPropsVTypes"/>
</file>