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4. punktā minēto iebildumu atkārtoti lūdzam noteikumu projekta anotācijas 5.4. sadaļas 1. tabulā skaidrot konkrētu noteikumu projekta 10.-19. punktā minēto direktīvu prasību (proti, konkrētu minēto direktīvu vienību) pārņemšanu noteikumu projektā, (norādot arī korespondējošas nacionālo tiesību normas, ar kurām šīs prasības tiek pārņemtas). Tāpat līdzīgi lūdzam anotācijas 5.4. sadaļas 1. tabulā skaidrot konkrētu 5. sadaļā minēto regulu prasību (proti, konkrētu regulu vienību) ieviešanu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Par tehnisko noteikumu projektu pakalpojumu jomā nav jāpaziņo IMI sistēmā, ja tas vienlaikus ir tehnisko noteikumu projekts produktu jomā un par to ir paziņots Tehnisko noteikumu informācijas sistēmā (TRIS) saskaņā ar Ministru kabineta 2010. gada 23. februāra instrukciju Nr. 1 “Kārtība, kādā valsts pārvaldes iestādes sniedz informāciju par tehnisko noteikumu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2009. gada 3. februāra noteikumu Nr. 108 "Normatīvo aktu projektu sagatavošanas noteikumi" 131. punktā noteikto, lūdzam noteikumu projekta 7. punktā svītrot atsauci uz Ministru kabineta instrukciju.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17.07.2023. 11.32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17.07.2023. 11.32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