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akreditētie valsts muzeji var saņemt valsts garantētu apdrošināšanu starptautisku izstāžu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akreditēts valsts muzejs (turpmāk – muzejs) var saņemt valsts garantētu apdrošināšanu (turpmāk – galvojums) starptautisku izstāžu (turpmāk – izstāžu) rīkošanai Latvijā un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vārdu "starptautisku izstāžu" saīsinājumu -</w:t>
            </w:r>
            <w:r w:rsidR="00000000" w:rsidRPr="00000000" w:rsidDel="00000000">
              <w:rPr>
                <w:i w:val="1"/>
                <w:rtl w:val="0"/>
              </w:rPr>
              <w:t xml:space="preserve"> "turpmāk - izstāžu" - </w:t>
            </w:r>
            <w:r w:rsidR="00000000" w:rsidRPr="00000000" w:rsidDel="00000000">
              <w:rPr>
                <w:rtl w:val="0"/>
              </w:rPr>
              <w:t xml:space="preserve">aizstāt ar vārdiem "turpmāk - izstāde", kā tas visā projektā tiek lietots.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likumā par budžetu kārtējam gadam un vidēja termiņa budžeta ietvaru noteiktu maksimālo pieļaujamo galvojuma apmēru kārtējam gadam, Kultūras ministrija saskaņā ar attiecīgā likumprojekta par valsts budžetu kārtējam gadam un budžeta ietvaru vidējam termiņam sagatavošanas grafiku iesniedz Finanšu ministrijā detalizētu informāciju par nākamajā kalendārajā gadā plānotajām izstādēm (kopējā vērtība naudas izteiksmē (turpmāk – vērtība), fiskālā ietekme, risku iestāšanās un galvojuma iestāšanās varbūtība) un priekšlikumu par maksimālo pieļaujamo galvojuma apmēru kārtējam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precizēt redakcionāli (arī atbilstošajā locījumā) teikuma daļu - </w:t>
            </w:r>
            <w:r w:rsidR="00000000" w:rsidRPr="00000000" w:rsidDel="00000000">
              <w:rPr>
                <w:i w:val="1"/>
                <w:rtl w:val="0"/>
              </w:rPr>
              <w:t xml:space="preserve">fiskālā ietekme, risku iestāšanās un galvojuma iestāšanās varbūtība) </w:t>
            </w:r>
            <w:r w:rsidR="00000000" w:rsidRPr="00000000" w:rsidDel="00000000">
              <w:rPr>
                <w:rtl w:val="0"/>
              </w:rPr>
              <w:t xml:space="preserve">- ar līdzību, kā tas ir izteikts projekta 11. punktā (arī 36.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fiskālo ietekmi, risku un galvojuma iestāšanās varbūtību un priekšlikumu par maksimālo pieļaujamo galvojuma apmēru kārtējam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šo noteikumu 19. un 20. punktā noteiktās papildu prasības un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punktā vienā no lēmuma saturiskajiem punktiem - 22.7. apakšpunktā ir paredzēts, ka lēmumā norāda šo noteikumu 19. un 20. punktā noteiktās papildu prasības un nosacījumus. Minētajos projekta punktos nav norādītas nekādas konkrētas prasības, bet gan tikai tas, ka komisija ir tiesīga noteikt obligātas papildu prasības (19. punkts). Savukārt, 20. punkts nosaka, ka komisija, sniedzot atzinumu, var noteikt, </w:t>
            </w:r>
            <w:r w:rsidR="00000000" w:rsidRPr="00000000" w:rsidDel="00000000">
              <w:rPr>
                <w:i w:val="1"/>
                <w:rtl w:val="0"/>
              </w:rPr>
              <w:t xml:space="preserve">ka galvojums sedz tikai daļu no eksponātu kopējās vērtības, daļēju izstādes eksponēšanas vai transportēšanas laiku vai daļu no izstādes telpām.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 minēto projekta punktu savstarpējo saturisko atbilstību vai arī kādu no tiem atbilstoši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Pārskatu sniegšana un dokumentu 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VIII sadaļai ir nosaukums -</w:t>
            </w:r>
            <w:r w:rsidR="00000000" w:rsidRPr="00000000" w:rsidDel="00000000">
              <w:rPr>
                <w:i w:val="1"/>
                <w:rtl w:val="0"/>
              </w:rPr>
              <w:t xml:space="preserve"> Pārskatu sniegšana un dokumentu glabāšana</w:t>
            </w:r>
            <w:r w:rsidR="00000000" w:rsidRPr="00000000" w:rsidDel="00000000">
              <w:rPr>
                <w:rtl w:val="0"/>
              </w:rPr>
              <w:t xml:space="preserve">, bet nevienā sadaļas punktā vārds "pārskats" nav minēts. Izskatīt projekta 42. punkta redakciju - vai Kultūras ministrijas informēšana par izstādes nodošanu ir uzskatāma par konkrētu pārskatu. Ja tas ir pārskats, tad nepieciešama jelkāda norāde par tā saturu un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25.punkts paredz, ka zādzības vai laupīšanas gadījumā muzejs vispirms nekavējoties vēršas ar iesniegumu policijā. Muzejs informē Kultūras ministriju un eksponāta īpašnieku vai valdītāju par eksponāta meklēšanas procesa virzību. Vēršama uzmanība, ka Kriminālprocesa likuma 375.panta pirmā daļa noteic, ka kriminālprocesa laikā krimināllietā esošie materiāli ir izmeklēšanas noslēpums un ar tiem drīkst iepazīties amatpersonas, kuras veic kriminālprocesu, kā arī personas, kurām minētās amatpersonas attiecīgos materiālus uzrāda šajā likumā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rtl w:val="0"/>
              </w:rPr>
              <w:t xml:space="preserve">izvērtēt projekta 25.punktā ietverto regulējumu par informācijas sniegšanu attiecībā uz eksponāta meklēšanas gaitu gadījumos, kad ir ierosināts kriminālprocess par eksponāta zādzību vai laupīšanu, lai nodrošinātu tā atbilstību Kriminālprocesa likumā noteiktajām prasībām par izmeklēšanas noslēpuma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15.punkts paredz, ka komisijas sastāvā ir vismaz pieci locekļi, tostarp Kultūras ministrijas pārstāvji un, ja nepieciešams, mākslas, vēstures, muzeoloģijas, apdrošināšanas, apsardzes un ugunsdrošības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anotāciju, sniedzot skaidrojumu par to, vai apsardzes un ugunsdrošības eksperti būs komisijas locekļi un vai viņiem būs pienākums izvērtēt pieprasījuma atbilstību visām projekta 12.punktā noteiktajām prasībām, tai skaitā, piemēram,  izstādes mākslinieciskās vai kultūrvēsturiskas nozīmes pamatojumu. Tāpat lūdzam anotācijā sniegt skaidrojumu par lietotā termina “apsardzes un ugunsdrošības eksperti” tvērumu – proti, vai tas ir attiecināms uz privātpersonām vai arī valsts pārvaldes iestādi, kā arī to  pienākumiem saistībā ar  projekta 12.punktā noteikto prasību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09.10.2025.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09.10.2025.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Atzinumi_25-TA-2339.docx</dc:title>
</cp:coreProperties>
</file>

<file path=docProps/custom.xml><?xml version="1.0" encoding="utf-8"?>
<Properties xmlns="http://schemas.openxmlformats.org/officeDocument/2006/custom-properties" xmlns:vt="http://schemas.openxmlformats.org/officeDocument/2006/docPropsVTypes"/>
</file>