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23-TA-748: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Āfrikas cūku mēra uzliesmojuma likvidēšanas un draudu novēršanas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Āfrikas cūku mēra uzliesmojuma apkarošanas pasākumus, personu un institūciju kompetenci, cūku dzimtas dzīvnieku pārvadāšanas ierobežojumus, rīcību ar cūku dzimtas dzīvnieku izcelsmes produktiem, cūku dzimtas dzīvnieku izcelsmes blakusproduktiem, tostarp līķiem, skarto objektu un transportlīdzekļu tīrīšanas un dezinfekcijas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1. punktā ietverto iebildumu atkārtoti vēršam uzmanību, ka Veterinārmedicīnas likuma 26. panta pirmajā daļā ietvertajā pilnvarojumā pretēji noteikumu projekta 1. punktā minētajam norādītajā likuma pilnvarojumā nav minēta rīcība ar cūku dzimtas dzīvnieku izcelsmes blakusproduktiem, objektu tīrīšanas un dezinfekcijas kārtība. Attiecīgi lūdzam atbilstoši precizēt noteikumu projekta 1. punktā ietverto pilnvarojumu, svītrojot minētās norādes, ievērojot Ministru kabineta 2009. gada 3. februāra noteikumu Nr. 108 "Normatīvo aktu projektu sagatavošanas noteikumi" 100.2. apakšpunktā noteikto. Nepieciešamības gadījumā lūdzam precizēt vai svītrot noteikumu projektā regulējumu, kas neatbilst likumā noteiktajam pilnvarojumam.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Termins Āfrikas cūku mēris ir saprotams Komisijas 2018. gada 3. decembra Īstenošanas Regulas (ES) </w:t>
            </w:r>
            <w:r w:rsidR="00000000" w:rsidRPr="00000000" w:rsidDel="00000000">
              <w:rPr>
                <w:rtl w:val="0"/>
              </w:rPr>
              <w:t xml:space="preserve">2018/1882</w:t>
            </w:r>
            <w:r w:rsidR="00000000" w:rsidRPr="00000000" w:rsidDel="00000000">
              <w:rPr>
                <w:rtl w:val="0"/>
              </w:rPr>
              <w:t xml:space="preserve"> par dažu slimību profilakses un kontroles noteikumu piemērošanu attiecībā uz sarakstā norādīto slimību kategorijām un ar ko izveido sarakstu ar sugām un sugu grupām, kas rada sarakstā norādīto slimību ievērojamu izplatības risku, pielikuma 37. punkta izpratnē. Āfrikas cūku mēris ir epizootiska rakstura dzīvnieku infekcijas slimība, kas var izraisīt visu cūku dzimtas (</w:t>
            </w:r>
            <w:r w:rsidR="00000000" w:rsidRPr="00000000" w:rsidDel="00000000">
              <w:rPr>
                <w:i w:val="1"/>
                <w:rtl w:val="0"/>
              </w:rPr>
              <w:t xml:space="preserve">Suidae</w:t>
            </w:r>
            <w:r w:rsidR="00000000" w:rsidRPr="00000000" w:rsidDel="00000000">
              <w:rPr>
                <w:rtl w:val="0"/>
              </w:rPr>
              <w:t xml:space="preserve">) dzīvnieku (turpmāk – cūka) saslimšanu.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pēc iespējas izvairoties no regulas prasību pārrakstīšanas.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Termins "Āfrikas cūku mēris"  ir epizootiska rakstura dzīvnieku infekcijas slimība Komisijas 2018. gada 3. decembra Īstenošanas Regulas (ES) 2018/1882 par dažu slimību profilakses un kontroles noteikumu piemērošanu attiecībā uz sarakstā norādīto slimību kategorijām un ar ko izveido sarakstu ar sugām un sugu grupām, kas rada sarakstā norādīto slimību ievērojamu izplatības risku, pielikuma 37. punkta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ievērojot regulas </w:t>
            </w:r>
            <w:r w:rsidR="00000000" w:rsidRPr="00000000" w:rsidDel="00000000">
              <w:rPr>
                <w:rtl w:val="0"/>
              </w:rPr>
              <w:t xml:space="preserve">2023/594</w:t>
            </w:r>
            <w:r w:rsidR="00000000" w:rsidRPr="00000000" w:rsidDel="00000000">
              <w:rPr>
                <w:rtl w:val="0"/>
              </w:rPr>
              <w:t xml:space="preserve"> 52. panta 3. punktā noteikto, sagatavo un publicē oficiālajā izdevumā "Latvijas Vēstnesis" rīkojumu par nosacījumiem, kad mednieki noņem nomedītajām savvaļas cūkām paraugus laboratoriskajiem izmeklējumiem, lai apstiprinātu vai noliegtu Āfrikas cūku mēra ierosinātāju.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12.4. apakšpunktā precīzāk noteikt attiecīgā rīkojuma saturu, proti, kādi konkrēti nosacījumi tiks rīkojumā ietverti. Papildus, ņemot vērā noteikumu projektā ietverto regulējumu saistībā ar minēto rīkojumu, lūdzam izvērtēt un nepieciešamības gadījumā papildināt noteikumu projekta 1. punktu ar likumā noteikto pilnvarojumu Ministru kabinetam, kas paredz noteikt rīkojumu izziņošanas un izpildes reglamentu, vai lūdzam noteikumu projekta anotācijā skaidrot, kā minēto pilnvarojumu paredzēts īstenot.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Regulas </w:t>
            </w:r>
            <w:r w:rsidR="00000000" w:rsidRPr="00000000" w:rsidDel="00000000">
              <w:rPr>
                <w:rtl w:val="0"/>
              </w:rPr>
              <w:t xml:space="preserve">2023/594</w:t>
            </w:r>
            <w:r w:rsidR="00000000" w:rsidRPr="00000000" w:rsidDel="00000000">
              <w:rPr>
                <w:rtl w:val="0"/>
              </w:rPr>
              <w:t xml:space="preserve"> 35. panta 1. punktā, 36. panta 4. punktā, 37. panta 3. punktā un 40. panta 3. punktā noteiktajos gadījumos satelīta navigācijas sistēmu, kas ļauj noteikt transportlīdzekļa atrašanās vietu, atļauts aizvietot ar transportlīdzekļa individuālu noplombēšanu.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projektā attiecībā uz Komisijas 2023. gada 16. marta Īstenošanas regulas (ES) 2023/594​​​​​​, ar ko nosaka īpašus slimības kontroles pasākumus attiecībā uz Āfrikas cūku mēri un atceļ Īstenošanas regulu (ES) 2021/605 36. panta 4. punktā, 37. panta 3. punktā un 40. panta 3. punktā minēto materiālu un pakaišu pārvietošanu nav nepieciešams veikt līdzīgus regulas ieviešanas pasākumus, kas atbilst noteikumu projekta 32. punkta tālākajos apakšpunktos minētajam, ņemot vērā, ka iepriekš minētās regulas normas paredz līdzīgus priekšnoteikumus satelīta navigācijas sistēmas aizstāšanai.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Pārvietojot blakusproduktus ārpus Āfrikas cūku mēra skartajiem objektiem, tostarp objektiem, kas atrodas ierobežojumu zonu teritorijā, ja tās izveidotas saskaņā ar regulas </w:t>
            </w:r>
            <w:r w:rsidR="00000000" w:rsidRPr="00000000" w:rsidDel="00000000">
              <w:rPr>
                <w:rtl w:val="0"/>
              </w:rPr>
              <w:t xml:space="preserve">2020/687</w:t>
            </w:r>
            <w:r w:rsidR="00000000" w:rsidRPr="00000000" w:rsidDel="00000000">
              <w:rPr>
                <w:rtl w:val="0"/>
              </w:rPr>
              <w:t xml:space="preserve"> 21. panta 1. un 2. punkta prasībām, satelīta navigācijas sistēmu, kas ļauj noteikt transportlīdzekļa atrašanās vietu, atļauts aizvietot ar transportlīdzekļa individuālu noplombēšanu, ja ir izpildīti šādi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anotāciju (nepieciešamības gadījumā arī 5. sadaļu) papildināt ar skaidrojumu, kurā normatīvajā tiesību aktā paredzēta prasība, pārvietojot blakusproduktus ārpus Āfrikas cūku mēra skartajiem objektiem, tostarp objektiem, kas atrodas ierobežojumu zonu teritorijā, ja tās izveidotas saskaņā ar regulas 2020/687 21. panta 1. un 2. punkta prasībām, izmantot satelīta navigācijas sistēmu, kas ļauj noteikt transportlīdzekļa atrašanās vietu, kā arī sniegt tiesību normās balstītu pamatojumu izņēmuma noteikšanai no šīs prasības noteikumu projektā. Nepieciešamības gadījumā lūdzam precizēt vai svītrot noteikumu projekta 32.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40.4. dokumentēt transportlīdzekļa un konteinera tīrīšanas, mazgāšanas un dezinfekcijas pasākumus, norādot konkrēto pasākumu īstenošanas datumu, laiku un vietu, pasākumā izmantoto dezinfekcijas līdzekli, izmantotā līdzekļa daudzumu kā arī par īstenotajiem pasākumiem atbildīgo personu.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noteikumu projekta 40.4. apakšpunktā nedublēt Eiropas Parlamenta un Padomes 2016. gada 9. marta Regula (ES) 2016/429 par pārnēsājamām dzīvnieku slimībām un ar ko groza un atceļ konkrētus aktus dzīvnieku veselības jomā ("Dzīvnieku veselības tiesību akts") 104. panta 1. un 3. punktā noteikto (t.i., regulā jau ir minēta konkrēta informācija, kas pierakstos jāietver, kā arī norādīts, ka pierakstu lietvedību kārto tādā veidā, lai tos pēc pieprasījuma varētu tūlītēji darīt pieejamus kompetentajai iestāde), bet nepieciešamības gadījumā norādīt, kāda informācija attiecīgajos pierakstos jāietver papildus minētajā regulā noteiktajam, lai izslēgtu šaubas par ietveramās informācijas apjomu un izslēgtu regulas prasību interpretācijas riskus.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anotācijas 5.4. sadaļas 1. tabulu ar informāciju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Dzīvnieku veselības tiesību akta 102.-103. panta 3. punktā ietverto prasību ieviešanu. Kā arī, ņemot vērā, ka minētās regulas 104. panta 3. punkta "b" apakšpunkts paredz noteikt dalībvalstīm pierakstu glabāšanas ilgumu, lūdzam atbilstoši papildināt noteikumu projekta 40.4.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Eiropas Komisijas 2011. gada 25. februāra Regulas (ES) Nr. 142/2011, ar kuru īsteno Eiropas Parlamenta un Padomes Regulu (EK) Nr. 1069/2009, ar ko nosaka veselības aizsardzības noteikumus attiecībā uz dzīvnieku izcelsmes blakusproduktiem un atvasinātajiem produktiem, kuri nav paredzēti cilvēku patēriņam, un īsteno Padomes Direktīvu 97/78/EK attiecībā uz dažiem paraugiem un precēm, kam uz robežas neveic veterinārās pārbaudes atbilstīgi minētajai direktīvai ieviešanu noteikumu projekta 36.1.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23-TA-748</w:t>
    </w:r>
    <w:r>
      <w:br/>
    </w:r>
    <w:r w:rsidR="00000000" w:rsidRPr="00000000" w:rsidDel="00000000">
      <w:rPr>
        <w:rtl w:val="0"/>
      </w:rPr>
      <w:t xml:space="preserve">Izdrukāts 24.04.2024. 19.01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23-TA-748</w:t>
    </w:r>
    <w:r>
      <w:br/>
    </w:r>
    <w:r w:rsidR="00000000" w:rsidRPr="00000000" w:rsidDel="00000000">
      <w:rPr>
        <w:rtl w:val="0"/>
      </w:rPr>
      <w:t xml:space="preserve">Izdrukāts 24.04.2024. 19.01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Atzinumi_23-TA-748.docx</dc:title>
</cp:coreProperties>
</file>

<file path=docProps/custom.xml><?xml version="1.0" encoding="utf-8"?>
<Properties xmlns="http://schemas.openxmlformats.org/officeDocument/2006/custom-properties" xmlns:vt="http://schemas.openxmlformats.org/officeDocument/2006/docPropsVTypes"/>
</file>