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policija veic drošības līdzekļa izpildes elektronisko uzraudzību, datu apstrādi un glabāšanu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sadaļā "Kārtība, kādā Valsts policija veic elektronisko uzraudzību", tehniski precizēt MK noteikumu projekta punktu, kurā norādīts, kādi personas dati tiks apstrādāti elektroniskās uzraudzības sistēmas ietvaros, norādot noteikumu projekta </w:t>
            </w:r>
            <w:r w:rsidR="00000000" w:rsidRPr="00000000" w:rsidDel="00000000">
              <w:rPr>
                <w:b w:val="1"/>
                <w:rtl w:val="0"/>
              </w:rPr>
              <w:t xml:space="preserve">28. punktu</w:t>
            </w:r>
            <w:r w:rsidR="00000000" w:rsidRPr="00000000" w:rsidDel="00000000">
              <w:rPr>
                <w:rtl w:val="0"/>
              </w:rPr>
              <w:t xml:space="preserve">. Papildus tam atkārtoti aicinām izvērtēt, vai personas elektroniskās uzraudzības mērķa sasniegšanai ir nepieciešama visa noteikumu projekta 28. punktā iekļautā informācija, piemēram, personas dzimums.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Irīna Žemaite-Dziceviča (DVI)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23.05.2025.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23.05.2025.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