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23-TA-2866: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6.1.1.2. pasākuma "Pētniecības attīstība dabas resursu ilgtspējīgai izmantošanai vides un klimata mērķu kontekstā"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virs kvalitātes sliekšņa novērtēts projekts – projekts, kuram ir veikts projekta kvalitātes izvērtējums un tas ir pārvarējis noteikto kvalitātes slieksni attiecīgās ārvalstu programmas projektu pieteikumu vērtēšanā. Virs kvalitātes sliekšņa vērtējumu apliecina Eiropas Komisijas izsniegts Izcilības zīmoga sertifikāts (</w:t>
            </w:r>
            <w:r w:rsidR="00000000" w:rsidRPr="00000000" w:rsidDel="00000000">
              <w:rPr>
                <w:i w:val="1"/>
                <w:rtl w:val="0"/>
              </w:rPr>
              <w:t xml:space="preserve">Seal of Excellence</w:t>
            </w:r>
            <w:r w:rsidR="00000000" w:rsidRPr="00000000" w:rsidDel="00000000">
              <w:rPr>
                <w:rtl w:val="0"/>
              </w:rPr>
              <w:t xml:space="preserve">), ja konkrētajai apakšprogrammai Eiropas Komisija piešķir Izcilības zīmoga sertifikātu vai izdruka no informācijas sistēmas Research Participant Portal, kas satur informāciju par projekta novērtējumu un noteikto novērtējuma kvalitātes slieksni (</w:t>
            </w:r>
            <w:r w:rsidR="00000000" w:rsidRPr="00000000" w:rsidDel="00000000">
              <w:rPr>
                <w:i w:val="1"/>
                <w:rtl w:val="0"/>
              </w:rPr>
              <w:t xml:space="preserve">Evaluation Summary Report</w:t>
            </w:r>
            <w:r w:rsidR="00000000" w:rsidRPr="00000000" w:rsidDel="00000000">
              <w:rPr>
                <w:rtl w:val="0"/>
              </w:rPr>
              <w:t xml:space="preserve">) vai citas institūcijas izsniegts projekta kvalitātes vērtējumu apliecinošs dokuments;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2.13. apakšpunktā definētais termins projektā netiek lietots, bet gan tiek lietots (sk. noteikumu projekta 12. punktu) termins “virs kvalitātes sliekšņa novērtējums". Attiecīgi aicinām precizēt noteikumu projekta 2.13. apakšpunktu vai 12.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Lai pamatotu projekta pozitīvo ietekmi uz sociālekonomisko situāciju pārkārtošanās procesā visvairāk skartajos reģionos, projekta iesniegumam pievieno Uzņēmumu reģistra Biedrību un nodibinājumu reģistrā vismaz piecus gadus reģistrētas biedrības, kuras biedri strādā kūdras nozarē un kuras biedru kopējais apgrozījums ir vismaz 150 000 000 </w:t>
            </w:r>
            <w:r w:rsidR="00000000" w:rsidRPr="00000000" w:rsidDel="00000000">
              <w:rPr>
                <w:i w:val="1"/>
                <w:rtl w:val="0"/>
              </w:rPr>
              <w:t xml:space="preserve">euro</w:t>
            </w:r>
            <w:r w:rsidR="00000000" w:rsidRPr="00000000" w:rsidDel="00000000">
              <w:rPr>
                <w:rtl w:val="0"/>
              </w:rPr>
              <w:t xml:space="preserve"> gadā, atzinumu par pētījumu nozīmību kūdras un saistīto tautsaimniecības nozaru pārejai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izvērstāk skaidrot, kādēļ noteikti tieši šādi kritēriji biedrībai, kura var sniegt atzinumu par pētījumu nozīmību kūdras un saistīto tautsaimniecības nozaru pārejai uz klimatneitralitāti un attiecīgi kuras atzinumu pievieno projekta iesniegumam.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30.1.1. Latvijas nacionālās metodes izstrāde siltumnīcefekta gāzu (SEG) emisiju un ogļskābās gāzes piesaistes aprēķiniem no kūdras ieguves atbilstoši Klimata pārmaiņu starpvaldību padomes (IPCC) vadlīnijām, tai skaitā nacionālo emisiju faktoru izstrāde un pilnveide dažādām rekultivācijas aktivitātēm un priekšlikumu izstrāde darbību datu ieguvei;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skaidrot, par kādām Klimata pārmaiņu starpvaldību padomes vadlīnijām noteikumu projekta 30.1.1. apakšpunktā ir runa, kā arī skaidrot, kāds ir to juridiski saistošais spēks attiecībā uz projekta iesniedzējiem (finansējuma saņēmējiem). Vēršam uzmanību, ka, ja minētās vadlīnijas nav juridiski saistošas projekta iesniedzējiem (finansējuma saņēmējiem), tās par saistošām nevar padarīt ar noteikumu projektu, un attiecīgi atsauce būtu svītrojama, kā arī konkrētās vadlīniju prasības, ja nepieciešams, attiecīgi pārņemamas noteikumu projektā. Attiecīgi aicinām izvērtēt minēto un sniegt pamatotu skaidrojumu anotācijā par atsauces pieļaujamību vai arī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no šo noteikumu 30.1. apakšpunktā veiktās atbalstāmās pētniecības darbības, kas atbilst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minētajai pētniecības kategorijai, izrietošo tehnoloģiju tiesību (nemateriālo aktīvu) iegūšana, apstiprināšana un aizstāvēšana (turpmāk – tehnoloģiju tiesību aizsardzība);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skaidrot, kāpēc noteikumu projekta 30.3. apakšpunktā, kā arī, piemēram, noteikumu projekta 30.9. un 30.10. apakšpunktā, ietverta atsauce tieši un tikai uz 30.1. apakšpunktu, bet ne arī, piemēram, uz 30.2. apakšpunktu. Ja nepieciešams, aicinām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34.1.3.1.4. projekta īstenošanai nepieciešamā inventāra, laboratoriju iekārtu, instrumentu un materiālu (tai skaitā fizikālie, bioloģiskie, ķīmiskie un citi materiāli, izmēģinājuma dzīvnieki un augi, reaktīvi, reaģenti, ķimikālijas, laboratorijas trauki, medikamenti, aukstuma aģenti, siltumnesēji, elektronikas komponentes un moduļi, nesējgāzes, eļļas, enerģētiskie materiāli un elektroenerģija, ciktāl to izmanto pētniecībai) iegādes un piegādes izmaksas saskaņā ar iepirkuma procedūru reglamentējošiem normatīvajiem aktiem. Preču un pakalpojumu iegādi veic atklātā, pārredzamā, nediskriminējošā un konkurenci nodrošinošā procedūrā saskaņā ar normatīvajiem aktiem publisko iepirkumu jomā, izvērtējot iespējas iegādēm piemērot sociāli atbildīgu publisko iepirkumu un/vai  inovatīvu publisko iepirkumu;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noteikumu projektā simbolu „/” aizstāt ar saikli „un” vai saikli „vai” atkarībā no konteksta. Atbilstoši juridiskās tehnikas prasībām tiesību normas tvērumam ir jābūt skaidram, lai tā lietotājs un piemērotājs gūtu nepārprotamu priekšstatu par saviem pienākumiem un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Pievienotās vērtības nodoklis, kas tiešā veidā saistīts ar projektu, uzskatāms par attiecināmām izmaksām saskaņā ar regulas Nr. 2021/1060 64. panta 1. punkta "c" apakšpunktā ietvertajiem nosacījumiem, ja tas nav atgūstams saskaņā ar attiecīgās valsts tiesību aktiem pievienotās vērības nodokļa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noteikumu projekta 36. punktā ar "attiecīgo valsti" domāta Latvija, tad aicinām svītrot vārdus "attiecīgās valsts" un atsaucē norādīt uz "normatīvajiem aktiem pievienotās vērības nodokļa jomā" atbilstoši Ministru kabineta 2009.gada 3.februāra noteikumu Nr.108 "Normatīvo aktu projektu sagatavošanas noteikumi" 137. punktam. Alternatīvi aicinām sniegt skaidrojumu anotācijā, kas domāts ar "attiecīgo valsti".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23-TA-2866</w:t>
    </w:r>
    <w:r>
      <w:br/>
    </w:r>
    <w:r w:rsidR="00000000" w:rsidRPr="00000000" w:rsidDel="00000000">
      <w:rPr>
        <w:rtl w:val="0"/>
      </w:rPr>
      <w:t xml:space="preserve">Izdrukāts 19.07.2024. 09.59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23-TA-2866</w:t>
    </w:r>
    <w:r>
      <w:br/>
    </w:r>
    <w:r w:rsidR="00000000" w:rsidRPr="00000000" w:rsidDel="00000000">
      <w:rPr>
        <w:rtl w:val="0"/>
      </w:rPr>
      <w:t xml:space="preserve">Izdrukāts 19.07.2024. 09.59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Atzinumi_23-TA-2866.docx</dc:title>
</cp:coreProperties>
</file>

<file path=docProps/custom.xml><?xml version="1.0" encoding="utf-8"?>
<Properties xmlns="http://schemas.openxmlformats.org/officeDocument/2006/custom-properties" xmlns:vt="http://schemas.openxmlformats.org/officeDocument/2006/docPropsVTypes"/>
</file>