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medicīnisko ierīču ziedošanu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medicīnisko ierīču ziedošanu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43.</w:t>
            </w:r>
            <w:r w:rsidR="00000000" w:rsidRPr="00000000" w:rsidDel="00000000">
              <w:rPr>
                <w:vertAlign w:val="superscript"/>
                <w:rtl w:val="0"/>
              </w:rPr>
              <w:t xml:space="preserve">1 </w:t>
            </w:r>
            <w:r w:rsidR="00000000" w:rsidRPr="00000000" w:rsidDel="00000000">
              <w:rPr>
                <w:rtl w:val="0"/>
              </w:rPr>
              <w:t xml:space="preserve">pantam valsts kustamo mantu var nodot bez atlīdzības ārvalstu valdību un starpvalstu organizāciju īpašumā un šādā gadījumā lēmumu par kustamās mantas nodošanu katrā konkrētā gadījumā pieņem Ministru kabinets. Atbilstoši minētā panta otrajai daļai kārtība, kādā valsts kustamo mantu nodod bez atlīdzības ārvalstu valdību un starpvalstu organizāciju īpašumā, noteikta Ministru kabineta 2006.gada 25.jūlija noteikumos Nr.618 “Kārtība, kādā valsts kustamo mantu nodod bez atlīdzības ārvalstu valdību un starpvalstu organizāciju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minēto noteikumu 2.punktu izskatīšanai Ministru kabineta sēdē ir iesniedzams informatīvais ziņojums par nododamo valsts kustamo mantu, tās apjomu, bilances vērtību un pamatojumu nodošanai ārvalstu valdību vai starpvalstu organizāciju īpašumā, kā arī </w:t>
            </w:r>
            <w:r w:rsidR="00000000" w:rsidRPr="00000000" w:rsidDel="00000000">
              <w:rPr>
                <w:u w:val="single"/>
                <w:rtl w:val="0"/>
              </w:rPr>
              <w:t xml:space="preserve">attiecīgs tiesību akta projekts</w:t>
            </w:r>
            <w:r w:rsidR="00000000" w:rsidRPr="00000000" w:rsidDel="00000000">
              <w:rPr>
                <w:rtl w:val="0"/>
              </w:rPr>
              <w:t xml:space="preserve">. Tāpat atbilstoši minēto noteikumu 7.punktam, ja valsts kustamo mantu nodod bez atlīdzības ārvalsts valdības īpašumā, pamatojoties uz rakstisku līgumu (ja atsavināmās valsts kustamās mantas kopējā vērtība saskaņā ar grāmatvedības uzskaites datiem pārsniedz 1000 </w:t>
            </w:r>
            <w:r w:rsidR="00000000" w:rsidRPr="00000000" w:rsidDel="00000000">
              <w:rPr>
                <w:i w:val="1"/>
                <w:rtl w:val="0"/>
              </w:rPr>
              <w:t xml:space="preserve">euro</w:t>
            </w:r>
            <w:r w:rsidR="00000000" w:rsidRPr="00000000" w:rsidDel="00000000">
              <w:rPr>
                <w:rtl w:val="0"/>
              </w:rPr>
              <w:t xml:space="preserve">), attiecīgā ministrija kopā ar informatīvo ziņojumu par nododamo valsts kustamo mantu iesniedz Ministru kabinetā arī</w:t>
            </w:r>
            <w:r w:rsidR="00000000" w:rsidRPr="00000000" w:rsidDel="00000000">
              <w:rPr>
                <w:u w:val="single"/>
                <w:rtl w:val="0"/>
              </w:rPr>
              <w:t xml:space="preserve"> sagatavotu līguma projektu un pilnvaras projektu līguma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Valsts iestāžu juridisko dienestu vadītāju 2022.gada 11.novembra sanāksmes prot.Nr.5 2.§ 1.punktam, izstrādājot tiesību akta projektu par kustamās mantas nodošanu, TAP portālā jāveido divas tiesību aktu lietas, Ministru kabineta rīkojuma projekts un informatīvais ziņojums, un tos sasaista ar portālā paredzēto funkcionalitāti, lai vienlaikus izskatītu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vienlaikus ar informatīvo ziņojumu būtu virzāms attiecīgs Ministru kabineta rīkojuma projekts, tajā paredzot atļauju valsts kustamās mantas nodošanai bez atlīdzības ārvalsts valdības īpašumā, to noformējot atbilstoši līdzšinējai praksei (sk.piemēram, Ministru kabineta 2022.gada 10.augusta rīkojumu Nr.551 "Par valsts kustamās mantas nodošanu bez atlīdzības Ukrainai"), kā arī pievienojot attiecīgu līguma projektu un pilnvaras projektu tā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tiesību akta projekta saturu un atbilstību normatīvajiem aktiem, kā arī izpildīšanas iespējamību ir atbildīgs tā virzītājs izskatīšanai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medicīnisko ierīču ziedošanu Ukrainai”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informatīvā ziņojuma projekta II sadaļas “Esošā situācija” sestās rindkopas pēdējo teikumu: “Nepieciešamības gadījumā informēsim par papildus nepieciešamo finansējumu, ja tas tiks identificēts izvērtējama gaitā, jo līdz šim starptautiskās palīdzības ietvaros saņemtās ierīces nav lietojamas Latvijas teritorijā.”, jo minētajā teikumā tiek norādīta iespējamība par papildu finansējuma nepieciešamību, lai gan atbilstoši informatīvā ziņojuma projektam paredzēts ziedot Ukrainai tās medicīniskās ierīces, kuras Latvijas valsts saņēma ziedojumu ietvaros, jo daļa saņemto medicīnisko ierīču netiek izmantotas, kā arī netiek plānota šo ierīču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06.12.2022.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06.12.2022.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