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Ieguldījumu brokeru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Ieguldījumu brokeru sabiedrība ir tiesīga sniegt Finanšu instrumentu tirgus likuma 3. panta ceturtajā daļā minētajiem ieguldījumu pakalpojumiem un Finanšu instrumentu tirgus likuma 3. panta piektās daļas 1. punktā minētajam ieguldījumu blakuspakalpojumam līdzvērtīgus kriptoaktīvu pakalpojumus, kas minēti Eiropas Parlamenta un Padomes 2023. gada 31. maija regulas (ES) 2023/1114 par kriptoaktīvu tirgiem un ar ko groza regulas (ES) Nr. 1093/2010 un (ES) Nr. 1095/2010 un direktīvas 2013/36/ES un (ES) 2019/1937 (turpmāk – Regula Nr. 2023/1114) 3. panta 1. punkta 16. apakšpunktā, pirms tam saņemot atļauju Regulā Nr. 2023/1114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likumprojektā ietverts pilnīgs un pietiekams regulējums saistībā ar iesnieguma iesniegšanu atļaujas saņemšanai (piemēram, kam iesniedz iesniegumu un kas izsniedz atļauju u.tml.), un, ja nepieciešams, veikt precizējumus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Ieguldījumu brokeru sabiedrība, kas ir saņēmusi atļauju sniegt finanšu pakalpojumus [..], saskaņā ar Regulas Nr. 2023/1114 60. panta 3. punktu ir tiesīga sniegt Regulas Nr. 2023/1114  3. panta pirmās daļas 17., 18., 19., 21., 22., 23. 24. un 25. punktā noteiktos kriptoaktīvu pakalpojumus, proti, </w:t>
            </w:r>
            <w:r w:rsidR="00000000" w:rsidRPr="00000000" w:rsidDel="00000000">
              <w:rPr>
                <w:i w:val="1"/>
                <w:u w:val="single"/>
                <w:rtl w:val="0"/>
              </w:rPr>
              <w:t xml:space="preserve">visus Regulā Nr. 2023/1114 minētos kriptoaktīvu pakalpojumus, izņemot kriptoaktīvu apmaiņu pret citiem kriptoaktīviem</w:t>
            </w:r>
            <w:r w:rsidR="00000000" w:rsidRPr="00000000" w:rsidDel="00000000">
              <w:rPr>
                <w:i w:val="1"/>
                <w:rtl w:val="0"/>
              </w:rPr>
              <w:t xml:space="preserve"> [..]. Likumprojekts paredz papildināt Ieguldījumu brokeru sabiedrību likuma 31. pantu ar ieguldījumu brokeru sabiedrības tiesībām sniegt [..] kriptoaktīvu pakalpojumus, kas minēti Regulas Nr. 2023/1114 3. panta 1. punkta 16. apakšpunktā (kas pēc būtības ir </w:t>
            </w:r>
            <w:r w:rsidR="00000000" w:rsidRPr="00000000" w:rsidDel="00000000">
              <w:rPr>
                <w:i w:val="1"/>
                <w:u w:val="single"/>
                <w:rtl w:val="0"/>
              </w:rPr>
              <w:t xml:space="preserve">visi minētajā Regulas Nr. 2023/1114 normā uzskaitītie kriptoaktīvu pakalpojumi, izņemot kriptoaktīvu apmaiņu pret citiem kriptoaktīviem)</w:t>
            </w:r>
            <w:r w:rsidR="00000000" w:rsidRPr="00000000" w:rsidDel="00000000">
              <w:rPr>
                <w:i w:val="1"/>
                <w:rtl w:val="0"/>
              </w:rPr>
              <w:t xml:space="preserve">, pirms tam saņemot atļauju Regulā Nr. 2023/1114 noteiktajā kārtībā</w:t>
            </w:r>
            <w:r w:rsidR="00000000" w:rsidRPr="00000000" w:rsidDel="00000000">
              <w:rPr>
                <w:rtl w:val="0"/>
              </w:rPr>
              <w:t xml:space="preserve">." Vēršam uzmanību, ka Regulas Nr. 2023/1114 60. panta 3. punkta "c" apakšpunktā minēta kriptoaktīvu apmaiņa pret naudas līdzekļiem un citiem kriptoaktīviem, savukārt Regulas Nr. 2023/1114 60. panta 3. punktā, šķiet, nav minēts Regulas Nr. 2023/114 3. panta 1. punkta 16. apakšpunkta "j" punktā minētais kriptoaktīvu pakalpojums "kriptoaktīvu pārvešanas pakalpojumu sniegšana klientu vārdā". Attiecīgi aicinām precizēt anotācijā ietverto skaidrojumu vai arī sniegt skaidrojumu par anotācijā ietverto skaidrojumu atbilstību Regulas Nr. 2023/1113 60. panta 3. punktam.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24-TA-668</w:t>
    </w:r>
    <w:r>
      <w:br/>
    </w:r>
    <w:r w:rsidR="00000000" w:rsidRPr="00000000" w:rsidDel="00000000">
      <w:rPr>
        <w:rtl w:val="0"/>
      </w:rPr>
      <w:t xml:space="preserve">Izdrukāts 16.04.2024.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24-TA-668</w:t>
    </w:r>
    <w:r>
      <w:br/>
    </w:r>
    <w:r w:rsidR="00000000" w:rsidRPr="00000000" w:rsidDel="00000000">
      <w:rPr>
        <w:rtl w:val="0"/>
      </w:rPr>
      <w:t xml:space="preserve">Izdrukāts 16.04.2024.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Atzinumi_24-TA-668.docx</dc:title>
</cp:coreProperties>
</file>

<file path=docProps/custom.xml><?xml version="1.0" encoding="utf-8"?>
<Properties xmlns="http://schemas.openxmlformats.org/officeDocument/2006/custom-properties" xmlns:vt="http://schemas.openxmlformats.org/officeDocument/2006/docPropsVTypes"/>
</file>