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Finanšu ministriju (turpmāk – vadošā iestāde). Līdz metodikas apstiprināšanai tiek piemērota personāla izmaksu vienotā likme 20 procentu apmērā no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šāda pieejas maiņa, līdz ar to lūdzam izvēlēties vienu no risinājumiem un ar to virzīties uz saskaņošanu ar VI. Papildus norādām, ka vienotā likme ir jāsaskaņo ar VI, pierādot šo konkrēto likmes apmēru, kā arī anotācijā jābūt obligāti norādāmajai informācijai, piemērojot šo vienkāršoto izmaksu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ar vienoto personāla likmi līdz 20 % ir pietiekami, lai segtu personāla atlīdzības izmaksas, lūdzam izvērtēt nepieciešamību izstrādāt vienkāršoto izmaksu metodiku, kas ir administratīvi lielāks slogs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pārējās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pasniedzēju, konsultantu, ekspertu un citu speciālistu atlīdzība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par izmaksu un funkciju nepārklāšanos starp minētajiem speciālistiem un projekta vadības un īstenošanas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14.2.5. jaunradītu projekta vadības un projekta īstenošanas personāla darba vietu aprīkojuma,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un projekta īstenošanas personāls ir nodarbināts projektā vismaz 30 procentu apmērā no normālā darba laika uz darba līguma pamata. Ja projekta vadības un projekta īstenošanas personāls ir nodarbināts pilnu darba laiku, darba vietas aprīkojuma izmaksas ir attiecināmas 100 procentu apmērā. Ja projekta vadības un projekta īstenošanas personāls ir nodarbināts nepilnu darba laiku vai daļlaiku, darba vietas aprīkojuma izmaksas ir attiecināmas proporcionāli atlīdzības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2022.gada 25.augusta vadlīniju Nr. 1.2. "Vadlīnijas attiecināmo izmaksu noteikšanai Eiropas Savienības kohēzijas politikas programmas 2021.-2027.gada plānošanas periodā" 33.punktam daļlaika izmaksu attiecināšanas principa gadījumā jāņem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projekta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14.2.9. normatīvajos aktos par obligātajām veselības pārbaudēm paredzēto veselības pārbaužu izmaksas, redzes korekcijas līdzekļu kompensācija, veselības apdrošināšana projekta vadības un projekta īstenošanas personālam, ja veselības apdrošināšana paredzēta finansējuma saņēmēja iestādē. Ja projekta vadības un projekta īstenošanas personāls ir nodarbināts normālu darba laiku, veselības apdrošināšanas izmaksas ir attiecināmas 100 procentu apmērā. Ja projekta vadības un projekta īstenošanas personāls ir nodarbināts nepilnu darba laiku, veselības apdrošināšanas izmaksas nosakāmas atbilstoši nepilnā darba laika noslodzei. Ja projekta vadības un projekta īstenošanas personāla atlīdzībai piemēro daļlaika attiecināmības principu, veselības apdrošināšanas izmaksas nosakāmas proporcionāli atlīdzības procentuālajam sadalījumam. Veselības apdrošināšanas izmaksas ir attiecināmas tikai uz laiku, kad projekta vadības un projekta īstenošanas personāls ir nodarbināts projektā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14.2.9. apakšpunktā minētās izmaksas par obligātajām veselības pārbaudēm un redzes korekcijas līdzekļu kompensāciju ir attiecināmas no 14.1.punktā minētajām izmaksām, lūdzam šo apakšpunktu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projekta vadības un projekta īstenošanas personāls organizācijā veic pienākumus, kas ir saistīti ne tikai ar projektu, bet arī ar konkrētās organizācijas pamatdarbību vai citu finanšu instrumentu administrēšanu, daļu no atlīdzības izmaksām var segt no projekta tiešajām attiecināmajām personāla izmaksām proporcionāli laikam, kurā tiek veikti ar projektu saistītie pienākumi. Šādā gadījumā nepieciešama projekta vadības un projekta īstenošanas personāla darbalaika uzskaite, ievērojot, ka izmaksas no Eiropas Sociālā fonda Plus ir tiešās attiecināmās izmaksas, ja darbinieks projektā ir nodarbināts vismaz 30 procentu apmērā no kopējās noslodzes.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ir vadības un īstenošanas personālam paredzētās vienkāršotās izmaksas atbilstoši 14.1.punktam, šo punktu lūdzam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23.punktu, nosakot,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noteikto, lūdzam papildināt anotāciju ar skaidrojumu un pamatojumu avansa un stapposma maksājuma kopsummas noteikšanai 95%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7.punktā sniegto informāciju attiecībā uz iespējamo ietekmi uz finansējuma saņēmējiem (sociālajiem partneriem), ņemot vērā, ka minētajā sadaļā tiek atspoguļota ietekme tikai uz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Kobzeva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pieprasīs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"plānoto un" pirms vārda "pieejamo".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4. un 5. punkta redakciju, izsakot tos vienā punktā atbilstoši Vadošās iestādes vadlīnijām “Vadlīnijas Ministru kabineta noteikumu par specifiskā atbalsta mērķa īstenošanu izstrādei”, vienlaikus precizējot rādītāju nosaukumus un veidus atbilstoši Programmā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sociālo partneru skaits, kas saņēmuši atbalstu – 2, tai skaitā līdz 2024. gada 31. decembrim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programmas rezultāta rādītājs atbalstīto sociālo partneru skaits, kas sniedz atzinumus/priekšlikums likumdošanas procesā un Eiropas Semestra ietvaros –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1 740 000 </w:t>
            </w:r>
            <w:r w:rsidR="00000000" w:rsidRPr="00000000" w:rsidDel="00000000">
              <w:rPr>
                <w:i w:val="1"/>
                <w:rtl w:val="0"/>
              </w:rPr>
              <w:t xml:space="preserve">euro </w:t>
            </w:r>
            <w:r w:rsidR="00000000" w:rsidRPr="00000000" w:rsidDel="00000000">
              <w:rPr>
                <w:rtl w:val="0"/>
              </w:rPr>
              <w:t xml:space="preserve">(tai skaitā elastības finansējuma apjoms 274 528 </w:t>
            </w:r>
            <w:r w:rsidR="00000000" w:rsidRPr="00000000" w:rsidDel="00000000">
              <w:rPr>
                <w:i w:val="1"/>
                <w:rtl w:val="0"/>
              </w:rPr>
              <w:t xml:space="preserve">euro</w:t>
            </w:r>
            <w:r w:rsidR="00000000" w:rsidRPr="00000000" w:rsidDel="00000000">
              <w:rPr>
                <w:rtl w:val="0"/>
              </w:rPr>
              <w:t xml:space="preserve">), tai skaitā Eiropas Sociālā fonda Plus finansējums 1 479 000 </w:t>
            </w:r>
            <w:r w:rsidR="00000000" w:rsidRPr="00000000" w:rsidDel="00000000">
              <w:rPr>
                <w:i w:val="1"/>
                <w:rtl w:val="0"/>
              </w:rPr>
              <w:t xml:space="preserve">euro </w:t>
            </w:r>
            <w:r w:rsidR="00000000" w:rsidRPr="00000000" w:rsidDel="00000000">
              <w:rPr>
                <w:rtl w:val="0"/>
              </w:rPr>
              <w:t xml:space="preserve">(tai skaitā elastības finansējuma apjoms 233 349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valsts budžeta finansējums 261 000 </w:t>
            </w:r>
            <w:r w:rsidR="00000000" w:rsidRPr="00000000" w:rsidDel="00000000">
              <w:rPr>
                <w:i w:val="1"/>
                <w:rtl w:val="0"/>
              </w:rPr>
              <w:t xml:space="preserve">euro </w:t>
            </w:r>
            <w:r w:rsidR="00000000" w:rsidRPr="00000000" w:rsidDel="00000000">
              <w:rPr>
                <w:rtl w:val="0"/>
              </w:rPr>
              <w:t xml:space="preserve">(tai skaitā elastības finansējuma apjoms 41 179 </w:t>
            </w:r>
            <w:r w:rsidR="00000000" w:rsidRPr="00000000" w:rsidDel="00000000">
              <w:rPr>
                <w:i w:val="1"/>
                <w:rtl w:val="0"/>
              </w:rPr>
              <w:t xml:space="preserve">euro</w:t>
            </w:r>
            <w:r w:rsidR="00000000" w:rsidRPr="00000000" w:rsidDel="00000000">
              <w:rPr>
                <w:rtl w:val="0"/>
              </w:rPr>
              <w:t xml:space="preserve">),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7. un 8. punkta redakciju, izsakot tos atbilstoši Vadošās iestādes vadlīnijām “Vadlīnijas Ministru kabineta noteikumu par specifiskā atbalsta mērķa īstenošanu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anotācijā, tai skaitā, norādot informāciju par 4.3.4.4. pasākumā pieejamo finansējumu, attiecībā uz valsts budžetu lietot terminu "līdzfinansējums".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1 740 000 euro (tai skaitā elastības finansējuma apjoms 274 528 euro), tai skaitā Eiropas Sociālā fonda Plus finansējums 1 479 000 euro (tai skaitā elastības finansējuma apjoms 233 349 euro) un valsts budžeta līdzfinansējums 261 000 euro (tai skaitā elastības finansējuma apjoms 41 179 euro). Maksimālais Eiropas Sociālā fonda Plus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iesniegumos pasākuma īstenošanai kopējo pasākuma pieejamo finansējumu plāno ne vairāk kā 1 465 472 euro apmērā, tai skaitā Eiropas Sociālā fonda Plus finansējumu – 1 245 651 euro apmērā, valsts budžeta līdzfinansējumu – 219 821 euro apmērā. Katram šo noteikumu 10. punktā minētajam projekta iesniedzējam ir pieejami ne vairāk kā 50 procenti no šā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Atbildīgā iestāde pēc Eiropas Komisijas lēmuma par vidusposma pārskatu var ierosināt no 2026. gada 1. janvāra palielināt pasākumam pieejamo kopējo finansējumu līdz šo noteikumu 7. punktā minētajam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Finanšu ministriju (turpmāk – vadošā iestāde). Līdz metodikas apstiprināšanai tiek piemērota personāla izmaksu vienotā likme 20 procentu apmērā no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14.1.apakšpunktā vārdus "Finanšu ministriju (turpmāk – vadošā iestāde)" ar vārdiem "vadošo iestādi", ņemot vērā, ka iestāde, kas nodrošina vadošās iestādes funkcijas ir noteikta Eiropas Savienības fondu 2021.-2027.gada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attiecīgus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14.2.4. ārvalstu mācību, darba un dienesta komandējumu un dienesta braucienu izmaksas (arī mācību maksa), ja tās ir saistītas ar projekta rezultātu sasniegšanu. Šīs izmaksas ir attiecināmas tikai projekta vadītājam un projekta īstenošanas personālam atbilstoši normatīvajiem aktiem par </w:t>
            </w:r>
            <w:r w:rsidR="00000000" w:rsidRPr="00000000" w:rsidDel="00000000">
              <w:rPr>
                <w:rtl w:val="0"/>
              </w:rPr>
              <w:t xml:space="preserve">kārtību, kādā atlīdzināmi ar komandējumiem saistītie izdevumi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vai ārzemju komandējumi ir paredzēti ES dalībvalstīs vai arī ārpus 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14.2.6. transporta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transportlīdzekļu nomas izmaksu iekļaušanu šajā apakšpunktā, ievērojot to, ka "Vienas vienības izmaksu standarta likmes aprēķina un piemērošanas metodika 1 km izmaksām darbības programmas “Izaugsme un nodarbinātība” un Eiropas Savienības kohēzijas politikas programmas 2021.–2027.gadam  īstenošanai" šādu pozīciju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redakcionāli precizēt, vārdus "transporta izmaksas" aizstājot ar vārdiem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14.2.7. projekta informācijas un publicitātes pasākumu izmaksas atbilstoši normatīvajiem aktiem par Eiropas Savienības fondu ieviešanu 2021.–2027. gada plānošanas periodā un Eiropas Savienības fondu 2021.–2027. gada plānošanas perioda un Atveseļošanas fonda komunikācijas un dizaina vadlīnijām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 vārdus "atbilstoši normatīvajiem aktiem par Eiropas Savienības fondu ieviešanu 2021.–2027. gada plānošanas periodā un Eiropas Savienības fondu 2021.–2027. gada plānošanas perioda un Atveseļošanas fonda komunikācijas un dizaina vadlīnijām šo noteikumu 12.7. apakšpunktā minētās atbalstāmās darbības īstenošanai", ievērojot, ka nosacījumi informācijas un publicitātes pasākumu īstenošanai noteikti noteikumu projekta 23.2.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14.2.8. citas informatīvo un publicitātes pasākumu īstenošanas izmaksas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šai izmaksu pozīcijai paredzēt limitu, kā arī anotācijā norādīt kādu citu informatīvo un publicitātes pasākumu īstenošana ir atbalstāma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pieejamā maksimālā avansa un starpposma maksājuma kopsumma nepārsniedz 95 procentus no projektam piešķirtā Eiropas Sociālā fonda Plus finansējuma un valsts budžeta līdzfinansējuma kopsummas. Sadarbības iestāde atbilstoši Valsts budžeta līdzekļu plānošanas kārtībai Eiropas Savienības fondu projektu īstenošanai un maksājumu veikšanai 2021.–2027. gada plānošanas periodā izvērtē avansa piešķiršanas pamatojumu un pieņem lēmumu par to, vai atzīt avansa pieprasījumu par pamatotu un vai avansu finansējuma saņēmējam var piešķirt šajos noteikumos noteiktajā maksimālajā apjomā, daļēji, izmaksāt pa daļām vai noraidīt.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22.punktā otro teikumu. Minētais dublē Ministru kabineta 2023.gada 25.aprīļa noteikumu Nr.205 "Valsts budžeta līdzekļu plānošanas kārtība Eiropas Savienības fondu projektu īstenošanai un maksājumu veikšanai 2021.-2027.gada plānošanas periodā" 9.punktā noteikto. Papildus vēršam uzmanību, ka kārība kādā izvērtē avansa maksājumus ir noteikta Ministru kabineta 2023.gada 21.marta noteikumos Nr.135 "Eiropas Savienības fondu projektu pārbaužu veikšanas kārtība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nodrošina informācijas un publicitātes pasākumus saskaņā ar </w:t>
            </w:r>
            <w:r w:rsidR="00000000" w:rsidRPr="00000000" w:rsidDel="00000000">
              <w:rPr>
                <w:rtl w:val="0"/>
              </w:rPr>
              <w:t xml:space="preserve">regulas 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23.2. apakšpunkta redakciju, norādot pilnu regulas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nodrošina informācijas un publicitātes pasākumus saskaņā ar Eiropas Parlamenta un Padomes 2021. gada 24. jūnija Regulas (ES)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nodrošina horizontālā principa "Vienlīdzība, iekļaušana, nediskriminācija un pamattiesību ievērošana" vispārīgās un specifiskās darbības, kas veicina vienlīdzību, iekļaušanu, nediskrimināciju un pamattiesību ievērošanu, kā arī nodrošina rādītāju uzkrāšanu un ziņošanu;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un saskaņā ar Labklājības ministrijas izstrādātajām vadlīnijām "Horizontālais princips “Vienlīdzība, iekļaušana, nediskriminācija un pamattiesību ievērošana” vadlīnijas īstenošanai un uzraudzībai (2021-2027)" pasākumā ir jānodrošina vismaz 1 horizontālā principa "Vienlīdzība, iekļaušana, nediskriminācija un pamattiesību ievērošana" rādītājs. Lūdzam MK noteikumu projektā iekļaut šo rādītāju attiecīgi papildinot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informāciju par plānotajām vismaz 3 vispārīgajām un 3 specifiskajām darbībām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noteiktajam avansa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anotācijas 1.3.apakšsadaļā vienu Eiropas sociālā fonda Plus, Eiropas Savienības u.c. apzīmējumu, proti, pilno nosaukumu vai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1.3.apakšsadaļā pilno Eiropas Parlamenta un Padomes Direktīvas (ES) 2022/2041 nosaukumu un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norādīt pilno NVO un MK nosaukumu, ņemot vērā, ka saīsinājums netika atrunāts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pirmajā teikumā precizēt norādīto valsts budžeta finansējuma daļu, ņemot vērā noteikumu projekta 7.1.punktā norādīto, ka Projektu iesniegumos pasākuma īstenošanai kopējo pasākuma pieejamo finansējumu plāno ne vairāk kā 1 465 472 euro apmērā, tai skaitā Eiropas Sociālā fonda Plus finansējumu - 1 245 651 euro apmērā un </w:t>
            </w:r>
            <w:r w:rsidR="00000000" w:rsidRPr="00000000" w:rsidDel="00000000">
              <w:rPr>
                <w:u w:val="single"/>
                <w:rtl w:val="0"/>
              </w:rPr>
              <w:t xml:space="preserve">valsts budžeta finansējumu - 219 821 euro apmērā.</w:t>
            </w:r>
            <w:r w:rsidR="00000000" w:rsidRPr="00000000" w:rsidDel="00000000">
              <w:rPr>
                <w:rtl w:val="0"/>
              </w:rPr>
              <w:t xml:space="preserve"> Papildus lūdzam svītrot pēdējo rindkopu, ņemot vērā, ka avansa maksājumiem nepieciešamais finansējums tiks nodrošināts pasākumam plānotā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pasākuma ietvaros īstenotie projekti un minētās atbalstāmās darbības veicinās Eiropas Savienības stratēģijā Baltijas jūras reģionam (ESSBJR) noteikto mērķu sasniegšanu. Vēršam uzmanību, ka atbilstoši Programmā norādītajam 4.3.4.SAM ietvaros plānots īstenot darbības, kas kopumā sniegs ieguldījumu dzimumu līdztiesības principa kā ESSBJR caurvijoša principa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23-TA-769</w:t>
    </w:r>
    <w:r>
      <w:br/>
    </w:r>
    <w:r w:rsidR="00000000" w:rsidRPr="00000000" w:rsidDel="00000000">
      <w:rPr>
        <w:rtl w:val="0"/>
      </w:rPr>
      <w:t xml:space="preserve">Izdrukāts 12.05.2023.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23-TA-769</w:t>
    </w:r>
    <w:r>
      <w:br/>
    </w:r>
    <w:r w:rsidR="00000000" w:rsidRPr="00000000" w:rsidDel="00000000">
      <w:rPr>
        <w:rtl w:val="0"/>
      </w:rPr>
      <w:t xml:space="preserve">Izdrukāts 12.05.2023.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Atzinumi_23-TA-769.docx</dc:title>
</cp:coreProperties>
</file>

<file path=docProps/custom.xml><?xml version="1.0" encoding="utf-8"?>
<Properties xmlns="http://schemas.openxmlformats.org/officeDocument/2006/custom-properties" xmlns:vt="http://schemas.openxmlformats.org/officeDocument/2006/docPropsVTypes"/>
</file>