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Administratīvo teritoriju un apdzīvoto vietu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2.1.sadaļā sniegto informāciju par likumprojekta potenciālo ietekmi uz autopārvadājumu nozari, lūdzu veikt administratīvo izmaksu monetāro novērtējumu, t.i. aprēķinus par izmaksām, kas potenciāli var rasties autopārvadātājiem, ja tiks mainīti Autotransporta direkcijas izdotie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institūciju atzinumus par likumprojektu, ierosinām šajā sadaļā aprakstīt ietekmi uz institūciju darbību (piem., nepieciešamību pielāgot elektroniskās sistēmas) pēc likumprojekta stāšanās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15.02.2024.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15.02.2024.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Atzinumi_22-TA-3223.docx</dc:title>
</cp:coreProperties>
</file>

<file path=docProps/custom.xml><?xml version="1.0" encoding="utf-8"?>
<Properties xmlns="http://schemas.openxmlformats.org/officeDocument/2006/custom-properties" xmlns:vt="http://schemas.openxmlformats.org/officeDocument/2006/docPropsVTypes"/>
</file>