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plānošanas dokumenta 3. politikas mērķī “Ciešāk savienota Eiropa, uzlabojot mobilitāti” 226. rindkopas pēdējā teikuma daļā </w:t>
            </w:r>
            <w:r w:rsidR="00000000" w:rsidRPr="00000000" w:rsidDel="00000000">
              <w:rPr>
                <w:b w:val="1"/>
                <w:rtl w:val="0"/>
              </w:rPr>
              <w:t xml:space="preserve">"publiskās lietošanas dzelzceļa infrastruktūras izbūve kravu pārnesei uz dzelzceļu un novirzīšanai no publiskās ceļu infrastruktūras uz valsts lielajām ostām (sausās ostas)"</w:t>
            </w:r>
            <w:r w:rsidR="00000000" w:rsidRPr="00000000" w:rsidDel="00000000">
              <w:rPr>
                <w:rtl w:val="0"/>
              </w:rPr>
              <w:t xml:space="preserve"> svītrot vārdu "dzelzceļa".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būtu iespējams sasniegt 3.1.1.SAM “Attīstīt ilgtspējīgu, klimatnoturīgu, inteliģentu, drošu un vairākveidu TEN-T infrastruktūru” noteikto rādītāju "Izveidoto iekšzemes intermodālo terminālu (savienojumu), kas nodrošina pārvadājamo kravu pārvirzīšanu no autotransporta uz dzelzceļa infrastruktūru, skaits", nepieciešams nodrošināt ne vien publiskās lietošanas dzelzceļa infrastruktūru, bet arī cita veida publisko infrastruktūru, piemēram, izveidot auto pievadceļus un konteineru pārkraušanas, uzglabāšanas un apstrādes laukumus.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Spārniņa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26.06.2024.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26.06.2024.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