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informācijas apriti, izmantojot Valsts kases e-pakalpojumus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kurā aprakstīta personas datu apstrāde (4. nodaļā “IV. Fizisko personu datu apstrāde”), ar informāciju par personas datu apstrādes tiesisko pamatu (piemēram, Vispārīgās datu aizsardzības regulas 6. panta 1. punkta c) un e) apakšpunkts), lai vienkopus ir pieejama informācija gan par personas datu apstrādes nolūku un tiesisko pamatu, gan apstrādājamo datu veidiem un to uzglabāšanu.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04.11.2024.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04.11.2024.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Atzinumi_24-TA-1864.docx</dc:title>
</cp:coreProperties>
</file>

<file path=docProps/custom.xml><?xml version="1.0" encoding="utf-8"?>
<Properties xmlns="http://schemas.openxmlformats.org/officeDocument/2006/custom-properties" xmlns:vt="http://schemas.openxmlformats.org/officeDocument/2006/docPropsVTypes"/>
</file>