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26-TA-898: Likumprojekts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Patvēruma 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(Apvienoto Nāciju Organizācijas Augstā komisāra bēgļu jautājumos biroja atzinums)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(Izziņa par Apvienoto Nāciju Organizācijas Augstā komisāra bēgļu jautājumos biroja atzinumā izteiktajiem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Juridisko konsultāciju un valsts nodrošinātās juridiskās palīdzības sniegšanas laikā saziņu ar patvēruma meklētāju nodrošina Tiesu administrācija.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iebildumu attiecībā uz saziņas ar patvēruma meklētāju tulkošanas nodrošināšanu visos attiecīgajos likumprojekta pantos. Norāde, ka katra institūcija tulkošanu nodrošina savu funkciju izpildei, pati par sevi neatrisina iebildumā norādīto jautājumu par efektīvāko un administratīvi vienkāršāko tulkošanas pakalpojumu organizēšanas modeli. Lūdzam atkārtoti izvērtēt iespēju tulkošanas nodrošināšanā izmantot institūcijas rīcībā jau esošos resursus, ņemot vērā patvēruma meklētāja atrašanās vietu un konkrētās saziņas nepieciešamību.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Ērika Reire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Juridisko konsultāciju un valsts nodrošinātās juridiskās palīdzības sniegšanas laikā saziņu ar patvēruma meklētāju nodrošina Tiesu administrācija.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Tiesu administrācija uztur iepriekš izteikto iebildumu par saziņas ar patvēruma meklētājiem regulējumu, kas paredz saziņas starp patvēruma meklētāju un juridiskās palīdzības sniedzēju tulkošanas pakalpojuma organizēšanas un nodrošināšanas funkcijas nodošanu Tiesu administrācijai. Iekšlietu ministrijas sniegtā atbilde nesatur informāciju par funkcijas īstenošanai nepieciešamo finansējumu, budžeta līdzekļu avotiem un paredzētajiem resursiem. Jāņem vērā, ka jau šobrīd Pilsonības un migrācijas lietu pārvaldei un Valsts robežsardzei ir pienākums nodrošināt patvēruma meklētāju saziņu ar juridiskās palīdzības sniedzējiem, tostarp organizējot tulkošanu. Līdz ar to nav pietiekami pamatots, kādēļ minētās funkcijas izpilde būtu nododama Tiesu administrācijai, kā arī nav izvērtēta un skaidrota šāda risinājuma ietekme uz esošo funkciju izpildi, administratīvo slogu un valsts budžeta izdevumiem.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Egita Lapa (TA)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Patvēruma meklētāja saziņu ar valsts nodrošinātās juridiskās palīdzības sniedzēju nodrošina Tiesu administrācija.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Tiesu administrācija uztur iepriekš izteikto iebildumu par saziņas ar patvēruma meklētājiem regulējumu, kas paredz saziņas starp patvēruma meklētāju un juridiskās palīdzības sniedzēju tulkošanas pakalpojuma organizēšanas un nodrošināšanas funkcijas nodošanu Tiesu administrācijai. Iekšlietu ministrijas sniegtā atbilde nesatur informāciju par funkcijas īstenošanai nepieciešamo finansējumu, budžeta līdzekļu avotiem un paredzētajiem resursiem. Jāņem vērā, ka jau šobrīd Pilsonības un migrācijas lietu pārvaldei un Valsts robežsardzei ir pienākums nodrošināt patvēruma meklētāju saziņu ar juridiskās palīdzības sniedzējiem, tostarp organizējot tulkošanu. Līdz ar to nav pietiekami pamatots, kādēļ minētās funkcijas izpilde būtu nododama Tiesu administrācijai, kā arī nav izvērtēta un skaidrota šāda risinājuma ietekme uz esošo funkciju izpildi, administratīvo slogu un valsts budžeta izdevumiem.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Egita Lapa (TA)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Ja pastāv kāds no šā likuma </w:t>
            </w:r>
            <w:r w:rsidR="00000000" w:rsidRPr="00000000" w:rsidDel="00000000">
              <w:rPr>
                <w:rtl w:val="0"/>
              </w:rPr>
              <w:t xml:space="preserve">25.</w:t>
            </w:r>
            <w:r w:rsidR="00000000" w:rsidRPr="00000000" w:rsidDel="00000000">
              <w:rPr>
                <w:rtl w:val="0"/>
              </w:rPr>
              <w:t xml:space="preserve">panta</w:t>
            </w:r>
            <w:r w:rsidR="00000000" w:rsidRPr="00000000" w:rsidDel="00000000">
              <w:rPr>
                <w:rtl w:val="0"/>
              </w:rPr>
              <w:t xml:space="preserve"> </w:t>
            </w:r>
            <w:r w:rsidR="00000000" w:rsidRPr="00000000" w:rsidDel="00000000">
              <w:rPr>
                <w:rtl w:val="0"/>
              </w:rPr>
              <w:t xml:space="preserve">​</w:t>
            </w:r>
            <w:r w:rsidR="00000000" w:rsidRPr="00000000" w:rsidDel="00000000">
              <w:rPr>
                <w:rtl w:val="0"/>
              </w:rPr>
              <w:t xml:space="preserve">pirmajā daļā</w:t>
            </w:r>
            <w:r w:rsidR="00000000" w:rsidRPr="00000000" w:rsidDel="00000000">
              <w:rPr>
                <w:rtl w:val="0"/>
              </w:rPr>
              <w:t xml:space="preserve"> vai </w:t>
            </w:r>
            <w:r w:rsidR="00000000" w:rsidRPr="00000000" w:rsidDel="00000000">
              <w:rPr>
                <w:rtl w:val="0"/>
              </w:rPr>
              <w:t xml:space="preserve">​</w:t>
            </w:r>
            <w:r w:rsidR="00000000" w:rsidRPr="00000000" w:rsidDel="00000000">
              <w:rPr>
                <w:rtl w:val="0"/>
              </w:rPr>
              <w:t xml:space="preserve">otrajā daļā</w:t>
            </w:r>
            <w:r w:rsidR="00000000" w:rsidRPr="00000000" w:rsidDel="00000000">
              <w:rPr>
                <w:rtl w:val="0"/>
              </w:rPr>
              <w:t xml:space="preserve"> minētajiem aizturēšanas nosacījumiem, Valsts robežsardze, ievērojot šā likuma </w:t>
            </w:r>
            <w:r w:rsidR="00000000" w:rsidRPr="00000000" w:rsidDel="00000000">
              <w:rPr>
                <w:rtl w:val="0"/>
              </w:rPr>
              <w:t xml:space="preserve">20.</w:t>
            </w:r>
            <w:r w:rsidR="00000000" w:rsidRPr="00000000" w:rsidDel="00000000">
              <w:rPr>
                <w:rtl w:val="0"/>
              </w:rPr>
              <w:t xml:space="preserve">panta</w:t>
            </w:r>
            <w:r w:rsidR="00000000" w:rsidRPr="00000000" w:rsidDel="00000000">
              <w:rPr>
                <w:rtl w:val="0"/>
              </w:rPr>
              <w:t xml:space="preserve"> prasības un, ja nepieciešams, pieprasot papildu informāciju no Pārvaldes, ne vēlāk kā 48 stundas pirms aizturēšanas termiņa beigām iesniedz rajona (pilsētas) tiesā (atbilstoši aizturētā patvēruma meklētāja faktiskajai atrašanās vietai) pamatotu ierosinājumu aizturēt patvēruma meklētāju ilgāk par 10 diennaktīm.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līdzīga problēma saistībā ar lietu nevienmērīgu sadali un tiesu noslodzi ir identificēta arī imigrācijas lietu izskatīšanā un tās risināšanai paredzēti grozījumi Imigrācijas likumā (https://titania.saeima.lv/LIVS14/saeimalivs14.nsf/webSasaiste?OpenView&amp;restricttocategory=1485/Lp14), lūdzam izslēgt iekavas un vārdus "(atbilstoši aizturētā patvēruma meklētāja faktiskajai atrašanās vietai)", paredzot iespēju attiecīgo jautājumu izskatīt jebkurā rajona (pilsētas) tiesā.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Ja pastāv kāds no šā likuma 25.panta ​pirmajā daļā vai ​otrajā daļā minētajiem aizturēšanas nosacījumiem, Valsts robežsardze, ievērojot šā likuma 20.panta prasības un, ja nepieciešams, pieprasot papildu informāciju no Pārvaldes, ne vēlāk kā 48 stundas pirms aizturēšanas termiņa beigām iesniedz rajona (pilsētas) tiesā pamatotu ierosinājumu aizturēt patvēruma meklētāju ilgāk par 10 diennaktīm.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Ērika Reire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Valsts robežsardzes amatpersona nogādā patvēruma meklētāju vispārējās jurisdikcijas rajona (pilsētas) tiesā un, ja nepieciešams, pieaicina tulku.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lietas paredzēts izskatīt dažādās rajona (pilsētas) tiesās visā Latvijā, lūdzam paredzēt patvēruma meklētāja dalību tiesas sēdē videokonferences režīmā, tādējādi novēršot nepieciešamību patvēruma meklētāju konvojēt uz tiesu un nodrošinot efektīvāku resursu izmantošanu.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Valsts robežsardzes amatpersona nodrošina patvēruma meklētāja klātbūtni vispārējās jurisdikcijas rajona (pilsētas) tiesā ar videokonferences palīdzību un, ja nepieciešams, pieaicina tulku.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Ērika Reire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Patvēruma meklētājs vai viņa pārstāvis jebkurā laikā var iesniegt vispārējās jurisdikcijas rajona (pilsētas) tiesā (atbilstoši aizturētā patvēruma meklētāja faktiskajai atrašanās vietai) pieteikumu par aizturēšanas turpmākas piemērošanas nepieciešamības izvērtēšanu.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Tieslietu ministrijas iebildumus 27. panta otrajā un trešajā daļā, lūdzam atbilstoši precizēt arī 29. panta pirmo daļu, izslēdzot iekavas un vārdus "(atbilstoši aizturētā patvēruma meklētāja faktiskajai atrašanās vietai)".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Patvēruma meklētājs vai viņa pārstāvis jebkurā laikā var iesniegt vispārējās jurisdikcijas rajona (pilsētas) tiesā pieteikumu par aizturēšanas turpmākas piemērošanas nepieciešamības izvērtēšanu.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Ērika Reire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Patvēruma meklētāja saziņu ar valsts nodrošinātās juridiskās palīdzības sniedzēju nodrošina Tiesu administrācija.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Tiesu administrācija uztur iepriekš izteikto iebildumu par saziņas ar patvēruma meklētājiem regulējumu, kas paredz saziņas starp patvēruma meklētāju un juridiskās palīdzības sniedzēju tulkošanas pakalpojuma organizēšanas un nodrošināšanas funkcijas nodošanu Tiesu administrācijai. Iekšlietu ministrijas sniegtā atbilde nesatur informāciju par funkcijas īstenošanai nepieciešamo finansējumu, budžeta līdzekļu avotiem un paredzētajiem resursiem. Jāņem vērā, ka jau šobrīd Pilsonības un migrācijas lietu pārvaldei un Valsts robežsardzei ir pienākums nodrošināt patvēruma meklētāju saziņu ar juridiskās palīdzības sniedzējiem, tostarp organizējot tulkošanu. Līdz ar to nav pietiekami pamatots, kādēļ minētās funkcijas izpilde būtu nododama Tiesu administrācijai, kā arī nav izvērtēta un skaidrota šāda risinājuma ietekme uz esošo funkciju izpildi, administratīvo slogu un valsts budžeta izdevumiem.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Egita Lapa (TA)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ģimenes loceklis – patvēruma meklētāja laulātais vai reģistrēts partneris, patvēruma meklētāja vai patvēruma meklētāja un viņa laulātā vai reģistrētā partnera nepilngadīgais bērns vai pilngadīgs apgādājams bērns, kas nav stājies laulībā saskaņā ar Latvijas nacionālajos normatīvajos aktos noteikto un atrodas abu vai viena laulātā vai reģistrētā apgādībā neatkarīgi no tā vai viņš ir dzimis laulībā vai ārpus laulības, reģistrētās partnerības attiecībās vai ārpus tām, vai arī ir adoptēts, kā arī tēvs, māte vai cits pieaugušais, tostarp pilngadīgs brālis vai māsa, kas saskaņā ar Latvijas Republikas normatīvajiem aktiem ir atbildīgs par patvēruma meklētāju, bēgli vai alternatīvo statusu ieguvušo personu, ja minētais patvēruma meklētājs, bēglis vai alternatīvo statusu ieguvusī persona ir nepilngadīgs un nav stājies laulībā saskaņā ar Latvijas Republikas nacionālajos aktos noteikto, ar nosacījumu, ka šāda ģimene pastāvējusi pirms ierašanās valsts teritorijā un atrodas Latvijas Republikas teritorijā patvēruma procedūras laikā. Termins atbilst regulas Nr.2024/1347 3.panta 9.punktā un regulas 2024/1351 2.panta 8.punktā lietotajam terminam;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Aicinām izvērtēt un tehniski precizēt, papildinot norādi "laulātā vai reģistrētā apgādībā", ņemot vērā, ka norādē trūkst vārds "partneris" ("reģistrētā partnera").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patvēruma meklētājs, kuram ir īpašas uzņemšanas vajadzības – nepilngadīgais, tai skaitā nepilngadīga persona bez pavadības, persona ar funkcionēšanas ierobežojumiem, persona vecumā, kuru sasniedzot Latvijas Republikā piešķir vecuma pensiju, grūtniece, vecāks ar nepilngadīgu bērnu, cilvēktirdzniecības upuris, persona, kurai veselības stāvokļa dēļ nepieciešama īpaša aprūpe, persona ar psihiskās veselības traucējumiem, persona, kas pārcietusi spīdzināšanu, izvarošanu vai cita veida nopietnu psiholoģisku, fizisku vai seksuālu vardarbību, vai cita īpaši aizsargājama persona, kuras spējas izmantot tiesības un pildīt pienākumus patvēruma procedūras laikā ir ierobežotas;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korespondējošajā direktīvas vienībā īpašas uzņemšanas vajadzības ir noteiktiem pieteikuma iesniedzējiem, kas tostarp pieder arī pie kategorijas - lesbietes, geji, biseksuāļi, transpersonas un interseksuāļi. Attiecīgi, lai nodrošinātu pienācīgu direktīvas prasības pārņemšanu, tiesiskās noteiktības nolūkā lūdzam attiecīgi papildināt normu vai skaidrot pamatojumu, kādēļ tas nav nepieciešams, likumprojekta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Ja Pārvalde konstatē, ka laika periodā, kad patvēruma meklētājām ir izmaksāta dienasnauda, patvēruma meklētāja rīcībā ir bijuši finanšu līdzekļi normatīvajos aktos noteiktās minimālās mēneša darba algas apmērā vai kuru apmērs ir bijis lielāks par normatīvajos aktos noteikto minimālo mēneša darba algas apmēru, lai nodrošinātu savam un savu nepilngadīgo ģimenes locekļu veselības stāvoklim atbilstošus sadzīves apstākļus un uzturēšanos, kā arī pienācīgu dzīves līmeni, patvēruma meklētājam ir pienākums atmaksāt Pārvaldei par attiecīgo laika periodu saņemto dienasnaudu.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likumprojekta 18. panta piekto daļu, līdzīgi kā 14. panta otro daļu, ņemot vērā, ka izziņā minēts, ka attiecīgais Tieslietu ministrijas iebildums ir ņemts vērā. Alternatīvi lūdzam skaidrot pamatojumu, kādēļ tas nav nepieciešams, likumprojekta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Ja patvēruma meklētājs vēlas saņemt valsts nodrošināto juridisko palīdzību pārsūdzības procedūrās saistībā ar šā likuma </w:t>
            </w:r>
            <w:r w:rsidR="00000000" w:rsidRPr="00000000" w:rsidDel="00000000">
              <w:rPr>
                <w:rtl w:val="0"/>
              </w:rPr>
              <w:t xml:space="preserve">14.</w:t>
            </w:r>
            <w:r w:rsidR="00000000" w:rsidRPr="00000000" w:rsidDel="00000000">
              <w:rPr>
                <w:rtl w:val="0"/>
              </w:rPr>
              <w:t xml:space="preserve">panta</w:t>
            </w:r>
            <w:r w:rsidR="00000000" w:rsidRPr="00000000" w:rsidDel="00000000">
              <w:rPr>
                <w:rtl w:val="0"/>
              </w:rPr>
              <w:t xml:space="preserve"> </w:t>
            </w:r>
            <w:r w:rsidR="00000000" w:rsidRPr="00000000" w:rsidDel="00000000">
              <w:rPr>
                <w:rtl w:val="0"/>
              </w:rPr>
              <w:t xml:space="preserve">​</w:t>
            </w:r>
            <w:r w:rsidR="00000000" w:rsidRPr="00000000" w:rsidDel="00000000">
              <w:rPr>
                <w:rtl w:val="0"/>
              </w:rPr>
              <w:t xml:space="preserve">divpadsmitajā</w:t>
            </w:r>
            <w:r w:rsidR="00000000" w:rsidRPr="00000000" w:rsidDel="00000000">
              <w:rPr>
                <w:rtl w:val="0"/>
              </w:rPr>
              <w:t xml:space="preserve"> un </w:t>
            </w:r>
            <w:r w:rsidR="00000000" w:rsidRPr="00000000" w:rsidDel="00000000">
              <w:rPr>
                <w:rtl w:val="0"/>
              </w:rPr>
              <w:t xml:space="preserve">​</w:t>
            </w:r>
            <w:r w:rsidR="00000000" w:rsidRPr="00000000" w:rsidDel="00000000">
              <w:rPr>
                <w:rtl w:val="0"/>
              </w:rPr>
              <w:t xml:space="preserve">septiņpadsmitajā daļā</w:t>
            </w:r>
            <w:r w:rsidR="00000000" w:rsidRPr="00000000" w:rsidDel="00000000">
              <w:rPr>
                <w:rtl w:val="0"/>
              </w:rPr>
              <w:t xml:space="preserve">, </w:t>
            </w:r>
            <w:r w:rsidR="00000000" w:rsidRPr="00000000" w:rsidDel="00000000">
              <w:rPr>
                <w:rtl w:val="0"/>
              </w:rPr>
              <w:t xml:space="preserve">18.</w:t>
            </w:r>
            <w:r w:rsidR="00000000" w:rsidRPr="00000000" w:rsidDel="00000000">
              <w:rPr>
                <w:rtl w:val="0"/>
              </w:rPr>
              <w:t xml:space="preserve">panta</w:t>
            </w:r>
            <w:r w:rsidR="00000000" w:rsidRPr="00000000" w:rsidDel="00000000">
              <w:rPr>
                <w:rtl w:val="0"/>
              </w:rPr>
              <w:t xml:space="preserve"> </w:t>
            </w:r>
            <w:r w:rsidR="00000000" w:rsidRPr="00000000" w:rsidDel="00000000">
              <w:rPr>
                <w:rtl w:val="0"/>
              </w:rPr>
              <w:t xml:space="preserve">​</w:t>
            </w:r>
            <w:r w:rsidR="00000000" w:rsidRPr="00000000" w:rsidDel="00000000">
              <w:rPr>
                <w:rtl w:val="0"/>
              </w:rPr>
              <w:t xml:space="preserve">otrajā daļā</w:t>
            </w:r>
            <w:r w:rsidR="00000000" w:rsidRPr="00000000" w:rsidDel="00000000">
              <w:rPr>
                <w:rtl w:val="0"/>
              </w:rPr>
              <w:t xml:space="preserve"> , </w:t>
            </w:r>
            <w:r w:rsidR="00000000" w:rsidRPr="00000000" w:rsidDel="00000000">
              <w:rPr>
                <w:rtl w:val="0"/>
              </w:rPr>
              <w:t xml:space="preserve">34.</w:t>
            </w:r>
            <w:r w:rsidR="00000000" w:rsidRPr="00000000" w:rsidDel="00000000">
              <w:rPr>
                <w:rtl w:val="0"/>
              </w:rPr>
              <w:t xml:space="preserve">panta</w:t>
            </w:r>
            <w:r w:rsidR="00000000" w:rsidRPr="00000000" w:rsidDel="00000000">
              <w:rPr>
                <w:rtl w:val="0"/>
              </w:rPr>
              <w:t xml:space="preserve"> </w:t>
            </w:r>
            <w:r w:rsidR="00000000" w:rsidRPr="00000000" w:rsidDel="00000000">
              <w:rPr>
                <w:rtl w:val="0"/>
              </w:rPr>
              <w:t xml:space="preserve">​</w:t>
            </w:r>
            <w:r w:rsidR="00000000" w:rsidRPr="00000000" w:rsidDel="00000000">
              <w:rPr>
                <w:rtl w:val="0"/>
              </w:rPr>
              <w:t xml:space="preserve">otrajā daļā</w:t>
            </w:r>
            <w:r w:rsidR="00000000" w:rsidRPr="00000000" w:rsidDel="00000000">
              <w:rPr>
                <w:rtl w:val="0"/>
              </w:rPr>
              <w:t xml:space="preserve"> (izņemot saistībā ar šā likuma </w:t>
            </w:r>
            <w:r w:rsidR="00000000" w:rsidRPr="00000000" w:rsidDel="00000000">
              <w:rPr>
                <w:rtl w:val="0"/>
              </w:rPr>
              <w:t xml:space="preserve">34.</w:t>
            </w:r>
            <w:r w:rsidR="00000000" w:rsidRPr="00000000" w:rsidDel="00000000">
              <w:rPr>
                <w:rtl w:val="0"/>
              </w:rPr>
              <w:t xml:space="preserve">panta</w:t>
            </w:r>
            <w:r w:rsidR="00000000" w:rsidRPr="00000000" w:rsidDel="00000000">
              <w:rPr>
                <w:rtl w:val="0"/>
              </w:rPr>
              <w:t xml:space="preserve"> </w:t>
            </w:r>
            <w:r w:rsidR="00000000" w:rsidRPr="00000000" w:rsidDel="00000000">
              <w:rPr>
                <w:rtl w:val="0"/>
              </w:rPr>
              <w:t xml:space="preserve">​</w:t>
            </w:r>
            <w:r w:rsidR="00000000" w:rsidRPr="00000000" w:rsidDel="00000000">
              <w:rPr>
                <w:rtl w:val="0"/>
              </w:rPr>
              <w:t xml:space="preserve">otrās daļas</w:t>
            </w:r>
            <w:r w:rsidR="00000000" w:rsidRPr="00000000" w:rsidDel="00000000">
              <w:rPr>
                <w:rtl w:val="0"/>
              </w:rPr>
              <w:t xml:space="preserve"> </w:t>
            </w:r>
            <w:r w:rsidR="00000000" w:rsidRPr="00000000" w:rsidDel="00000000">
              <w:rPr>
                <w:rtl w:val="0"/>
              </w:rPr>
              <w:t xml:space="preserve">5</w:t>
            </w:r>
            <w:r w:rsidR="00000000" w:rsidRPr="00000000" w:rsidDel="00000000">
              <w:rPr>
                <w:rtl w:val="0"/>
              </w:rPr>
              <w:t xml:space="preserve">.punktā</w:t>
            </w:r>
            <w:r w:rsidR="00000000" w:rsidRPr="00000000" w:rsidDel="00000000">
              <w:rPr>
                <w:rtl w:val="0"/>
              </w:rPr>
              <w:t xml:space="preserve"> minēto lēmumu saistībā ar regulas Nr.2024/1348 40.pantu), </w:t>
            </w:r>
            <w:r w:rsidR="00000000" w:rsidRPr="00000000" w:rsidDel="00000000">
              <w:rPr>
                <w:rtl w:val="0"/>
              </w:rPr>
              <w:t xml:space="preserve">​</w:t>
            </w:r>
            <w:r w:rsidR="00000000" w:rsidRPr="00000000" w:rsidDel="00000000">
              <w:rPr>
                <w:rtl w:val="0"/>
              </w:rPr>
              <w:t xml:space="preserve">trešajā</w:t>
            </w:r>
            <w:r w:rsidR="00000000" w:rsidRPr="00000000" w:rsidDel="00000000">
              <w:rPr>
                <w:rtl w:val="0"/>
              </w:rPr>
              <w:t xml:space="preserve">, </w:t>
            </w:r>
            <w:r w:rsidR="00000000" w:rsidRPr="00000000" w:rsidDel="00000000">
              <w:rPr>
                <w:rtl w:val="0"/>
              </w:rPr>
              <w:t xml:space="preserve">​</w:t>
            </w:r>
            <w:r w:rsidR="00000000" w:rsidRPr="00000000" w:rsidDel="00000000">
              <w:rPr>
                <w:rtl w:val="0"/>
              </w:rPr>
              <w:t xml:space="preserve">piektajā</w:t>
            </w:r>
            <w:r w:rsidR="00000000" w:rsidRPr="00000000" w:rsidDel="00000000">
              <w:rPr>
                <w:rtl w:val="0"/>
              </w:rPr>
              <w:t xml:space="preserve"> un </w:t>
            </w:r>
            <w:r w:rsidR="00000000" w:rsidRPr="00000000" w:rsidDel="00000000">
              <w:rPr>
                <w:rtl w:val="0"/>
              </w:rPr>
              <w:t xml:space="preserve">​</w:t>
            </w:r>
            <w:r w:rsidR="00000000" w:rsidRPr="00000000" w:rsidDel="00000000">
              <w:rPr>
                <w:rtl w:val="0"/>
              </w:rPr>
              <w:t xml:space="preserve">septītajā daļā</w:t>
            </w:r>
            <w:r w:rsidR="00000000" w:rsidRPr="00000000" w:rsidDel="00000000">
              <w:rPr>
                <w:rtl w:val="0"/>
              </w:rPr>
              <w:t xml:space="preserve">, </w:t>
            </w:r>
            <w:r w:rsidR="00000000" w:rsidRPr="00000000" w:rsidDel="00000000">
              <w:rPr>
                <w:rtl w:val="0"/>
              </w:rPr>
              <w:t xml:space="preserve">61.</w:t>
            </w:r>
            <w:r w:rsidR="00000000" w:rsidRPr="00000000" w:rsidDel="00000000">
              <w:rPr>
                <w:rtl w:val="0"/>
              </w:rPr>
              <w:t xml:space="preserve">panta</w:t>
            </w:r>
            <w:r w:rsidR="00000000" w:rsidRPr="00000000" w:rsidDel="00000000">
              <w:rPr>
                <w:rtl w:val="0"/>
              </w:rPr>
              <w:t xml:space="preserve"> </w:t>
            </w:r>
            <w:r w:rsidR="00000000" w:rsidRPr="00000000" w:rsidDel="00000000">
              <w:rPr>
                <w:rtl w:val="0"/>
              </w:rPr>
              <w:t xml:space="preserve">​</w:t>
            </w:r>
            <w:r w:rsidR="00000000" w:rsidRPr="00000000" w:rsidDel="00000000">
              <w:rPr>
                <w:rtl w:val="0"/>
              </w:rPr>
              <w:t xml:space="preserve">pirmajā daļā</w:t>
            </w:r>
            <w:r w:rsidR="00000000" w:rsidRPr="00000000" w:rsidDel="00000000">
              <w:rPr>
                <w:rtl w:val="0"/>
              </w:rPr>
              <w:t xml:space="preserve"> minēto lēmumu vai arī lai sagatavotu un iesniegtu šā likuma </w:t>
            </w:r>
            <w:r w:rsidR="00000000" w:rsidRPr="00000000" w:rsidDel="00000000">
              <w:rPr>
                <w:rtl w:val="0"/>
              </w:rPr>
              <w:t xml:space="preserve">40.</w:t>
            </w:r>
            <w:r w:rsidR="00000000" w:rsidRPr="00000000" w:rsidDel="00000000">
              <w:rPr>
                <w:rtl w:val="0"/>
              </w:rPr>
              <w:t xml:space="preserve">panta</w:t>
            </w:r>
            <w:r w:rsidR="00000000" w:rsidRPr="00000000" w:rsidDel="00000000">
              <w:rPr>
                <w:rtl w:val="0"/>
              </w:rPr>
              <w:t xml:space="preserve"> </w:t>
            </w:r>
            <w:r w:rsidR="00000000" w:rsidRPr="00000000" w:rsidDel="00000000">
              <w:rPr>
                <w:rtl w:val="0"/>
              </w:rPr>
              <w:t xml:space="preserve">​</w:t>
            </w:r>
            <w:r w:rsidR="00000000" w:rsidRPr="00000000" w:rsidDel="00000000">
              <w:rPr>
                <w:rtl w:val="0"/>
              </w:rPr>
              <w:t xml:space="preserve">trešajā</w:t>
            </w:r>
            <w:r w:rsidR="00000000" w:rsidRPr="00000000" w:rsidDel="00000000">
              <w:rPr>
                <w:rtl w:val="0"/>
              </w:rPr>
              <w:t xml:space="preserve"> un </w:t>
            </w:r>
            <w:r w:rsidR="00000000" w:rsidRPr="00000000" w:rsidDel="00000000">
              <w:rPr>
                <w:rtl w:val="0"/>
              </w:rPr>
              <w:t xml:space="preserve">​</w:t>
            </w:r>
            <w:r w:rsidR="00000000" w:rsidRPr="00000000" w:rsidDel="00000000">
              <w:rPr>
                <w:rtl w:val="0"/>
              </w:rPr>
              <w:t xml:space="preserve">piektajā daļā</w:t>
            </w:r>
            <w:r w:rsidR="00000000" w:rsidRPr="00000000" w:rsidDel="00000000">
              <w:rPr>
                <w:rtl w:val="0"/>
              </w:rPr>
              <w:t xml:space="preserve"> minēto lūgumu un patvēruma meklētājs nav šajā likumā noteiktajos gadījumos un kārtībā aizturēts un izmitināts Valsts robežsardzes Ārzemnieku izmitināšanas centrā vai izvietots konkrētā vietā, viņš iesniedz Pārvaldei iesniegumu par valsts nodrošinātas juridiskās palīdzības pieprasījumu un iesniegumu par saviem ienākumiem. Pēc iesniegumā par valsts nodrošinātās juridiskās palīdzības pieprasījumu un iesniegumā par patvēruma meklētāja ienākumiem minētās informācijas izvērtēšanas Pārvalde nekavējoties, ne vēlāk kā nākamajā darbdienā, nosūta iestādei, kas ir atbildīga par valsts nodrošinātās juridiskās palīdzības sniegšanu, lūgumu sniegt valsts nodrošināto juridisko palīdzību un pievieno tam pārsūdzamā lēmuma kopiju.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vienveidot izteiksmi likumprojekta 5. panta septītajā daļā, 37. panta trešajā un ceturtajā daļā attiecībā uz norādi "izņemot </w:t>
            </w:r>
            <w:r w:rsidR="00000000" w:rsidRPr="00000000" w:rsidDel="00000000">
              <w:rPr>
                <w:u w:val="single"/>
                <w:rtl w:val="0"/>
              </w:rPr>
              <w:t xml:space="preserve">saistībā ar</w:t>
            </w:r>
            <w:r w:rsidR="00000000" w:rsidRPr="00000000" w:rsidDel="00000000">
              <w:rPr>
                <w:rtl w:val="0"/>
              </w:rPr>
              <w:t xml:space="preserve"> šā likuma 34.panta ​otrās daļas 5.punktā minēto lēmumu </w:t>
            </w:r>
            <w:r w:rsidR="00000000" w:rsidRPr="00000000" w:rsidDel="00000000">
              <w:rPr>
                <w:u w:val="single"/>
                <w:rtl w:val="0"/>
              </w:rPr>
              <w:t xml:space="preserve">saistībā ar</w:t>
            </w:r>
            <w:r w:rsidR="00000000" w:rsidRPr="00000000" w:rsidDel="00000000">
              <w:rPr>
                <w:rtl w:val="0"/>
              </w:rPr>
              <w:t xml:space="preserve"> regulas Nr.2024/1348 40.pantu", izvairoties no redakcionāli nekorektas atsauces (proti, saistībā ar likuma normu un saistībā ar regulas normu).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aicinām skaidrot apsvērumus Eiropas Parlamenta un Padomes 2024. gada 14. maija Direktīvas (ES) 2024/1346, ar ko nosaka standartus starptautiskās aizsardzības pieteikuma iesniedzēju uzņemšanai, 7. panta 2.,4. (šī punkta gadījumā - kādēļ nosacījums attiecas vienīgi uz dienasnaudu, bet ne citiem materiālajiem uzņemšanas apstākļiem), 5. punktā u.c. paredzētās rīcības brīvības izmantošanai. Vienlaikus vēršam uzmanību, ka informācija par 7. panta 5. punktā ietvertās rīcības brīvības izmantošanu pirmšķietami ir pretrunīga, jo vienuviet norādīts uz izmantošanu iekšējās kārtības noteikumos, bet cituviet - Ministru kabineta noteikumos, tādēļ nepieciešams atbilstoši precizēt sniegto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saistībā ar minētās direktīvas 13. panta 2. punkta sestajā daļā paredzēto regulējumu aicinām izvērtēt, vai nebūtu jāparedz izņēmums "izņemot gadījumus, kad ļoti īsā aizturēšanas perioda dēļ izglītības nodrošināšana viņiem sniegtu ierobežotus ieguvumus", vai skaidrot, kādēļ tas nav nepieciešams.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arī atkārtoti lūdzam skaidrot, uz kāda pamata (piemēram, likumprojekta  konkrētas normas pamata) izdotajiem Ministru kabineta noteikumiem paredzēts pilnībā pārņemt minētās direktīvas 20. panta 10. punkta otrās daļas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Visbeidzot, vēršam uzmanību, ka anotācijā šobrīd attiecībā uz vairākām Eiropas Savienības direktīvas un regulas normām, kas paredz rīcības brīvību, norādīts, ka rīcības brīvība nav izmantota, jo no kompetentajām ministrijām nav saņemta attiecīga informāciju. Saistībā ar minēto atkārtoti lūdzam sadarboties ar atbildīgajām ministrijām un nodrošināt, ka informāciju par rīcības brīvības izmantošanu vai neizmantošanu tiek korekti atspoguļota anotācijas 5. sadaļā.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26-TA-898</w:t>
    </w:r>
    <w:r>
      <w:br/>
    </w:r>
    <w:r w:rsidR="00000000" w:rsidRPr="00000000" w:rsidDel="00000000">
      <w:rPr>
        <w:rtl w:val="0"/>
      </w:rPr>
      <w:t xml:space="preserve">Izdrukāts 24.08.2026. 17.12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26-TA-898</w:t>
    </w:r>
    <w:r>
      <w:br/>
    </w:r>
    <w:r w:rsidR="00000000" w:rsidRPr="00000000" w:rsidDel="00000000">
      <w:rPr>
        <w:rtl w:val="0"/>
      </w:rPr>
      <w:t xml:space="preserve">Izdrukāts 24.08.2026. 17.12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Atzinumi_26-TA-898.docx</dc:title>
</cp:coreProperties>
</file>

<file path=docProps/custom.xml><?xml version="1.0" encoding="utf-8"?>
<Properties xmlns="http://schemas.openxmlformats.org/officeDocument/2006/custom-properties" xmlns:vt="http://schemas.openxmlformats.org/officeDocument/2006/docPropsVTypes"/>
</file>