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precizēt pusgada ziņojuma 3.pielikumā</w:t>
            </w:r>
            <w:r w:rsidR="00000000" w:rsidRPr="00000000" w:rsidDel="00000000">
              <w:rPr>
                <w:rtl w:val="0"/>
              </w:rPr>
              <w:t xml:space="preserve"> “ES fondu 2021.–2027.gada plānošanas perioda MK noteikumu par specifisko atbalsta mērķu ieviešanu izstrādes laika grafiks” norādīto Eiropas Savienības kohēzijas politikas programmas 2021.-2027.gadam 6.1.1.6. pasākuma “Bezemisiju transportlīdzekļu izmantošanas veicināšana pašvaldībās” (turpmāk – 6.1.1.6.pasākums)  ieviešanas laika grafiku, pārceļot noteiktos termiņus uz priekšu par diviem ceturkšņiem. Vides aizsardzības un reģionālās attīstības ministrijas (turpmāk – VARAM)  ieskatā ir būtiski nodrošināt secīgu 6.1.1.6. SAMP un Atveseļošanas un noturības mehānisma plāna  (turpmāk – ANM plāns)  3.1.1.6.i. investīcijas  “Pašvaldību funkciju īstenošanai un pakalpojumu sniegšanai nepieciešamo bezemisiju transportlīdzekļu iegāde” (turpmāk – 3.1.1.6.i. investīcija) īstenošanas uzsākšanu, ņemot vērā, ka abos investīciju pasākumos (gan 6.1.1.6.SAMP, gan 3.1.1.6.i. investīcijas ietvaros) plānots sniegt atbalstu pašvaldībām bezemisiju transportlīdzekļu (elektroautobusu) iegādei. Ievērojot, ka Atveseļošanas fonds (turpmāk – AF) ir Eiropas Komisijas tiešas pārvaldības uz rezultātiem balstīts instruments, kura investīcijas Latvijai tiek piešķirtas saskaņā ar apstiprināto ANM plānu un Padomes Īstenošanas lēmumu, piesaistot  AF finansējumu konkrētiem sasniedzamajiem mērķiem to plānotajā apjomā un termiņā, nepieciešamas mazināt risku neizpildīt 3.1.1.6.i. investīcijai noteikto sasniedzamo mērķi – AF finansējuma apjoms saskaņā ar noslēgtajiem līgumiem par projektu īstenošanu (t.i., līdz 2023.gada 31.decembrim noslēgti līgumi par 9.5 milj. euro). Ņemot vērā  3.1.1.6.i. investīcijas projektu iesniegumu atlases ietvaros (kas noslēdzās š.g. 28.februārī) iesniegto projektu iesniegumu kopējo AF finansējuma apjomu (kas nav pietiekams AF mērķa izpildes nodrošināšanai) un š.g. 13.martā sanāksmē starp VARAM, Finanšu ministriju un Centrālo finanšu un līgumu aģentūru panākto vienošanos par atkārtotas projektu iesniegumu atlases (papildu uzsaukuma) izsludināšanu (no š.g. 28.marta līdz 28.jūnijam), lai 3.1.1.6.i. investīcijas sasniedzamais mērķis tiktu izpildīts noteiktā termiņā un apjomā, </w:t>
            </w:r>
            <w:r w:rsidR="00000000" w:rsidRPr="00000000" w:rsidDel="00000000">
              <w:rPr>
                <w:b w:val="1"/>
                <w:rtl w:val="0"/>
              </w:rPr>
              <w:t xml:space="preserve">lūdzam pusgada ziņojuma 3.pielikumā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šūnu Nr. 194N (Plānotais izskatīšanas datums Apakškomitejā (gads un ceturksnis)/ izskatīšanas datums) izteikt šādā redakcijā: “2023.g.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šūnu Nr. 194O (Plānotais izskatīšanas datums Uzraudzības komitejā (gads un ceturksnis)/ apstiprināšanas datums) izteikt šādā redakcijā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šūnu Nr. 194P (Saskaņošanas uzsākšana TAP (gads un ceturksnis)/faktiskais uzsākšanas datums) izteikt šādā redakcijā: “2023.g. III cet.”;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šūnu Nr. 194Q (Iesniegšana apstiprināšanai MK (gads un ceturksnis)/apstiprināšanas MK datums) izteikt šādā redakcijā: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šūnu Nr. 194R (Atlases uzsākšana*** (indikatīvi, gads un ceturksnis); 3 mēnešu laikā no MKN apstiprināšanas) izteikt šādā redakcijā: “2023.g. IV cet. Uzsaukums par elastības finansējumu plānots 2026.g.”.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radušos situāciju pēc būtības, t.sk. pašvaldību nogaidošo pozīciju un bezemisiju transportlīdzekļu piegāžu specifiku, secinām, ka laika ziņā secīgas projektu iesniegumu atlases nekavētu, bet gan tieši otrādi - pozitīvi ietekmētu kopējo ES fondu apguvi, proti, pārceļot 6.1.1.6.pasākuma ieviešanas laika grafiku par diviem ceturkšņiem, tiktu novērsti AF finansējuma neapguves riski un abu iepriekš minēto investīciju pasākumu savstarpējā izkonkurēšana saistībā ar abu programmu atšķirīgajiem nosacījumiem (piemēram, 3.1.1.6.i. investīcijas ietvaros iegādāto bezemisiju transportlīdzekļu izmantošanai ir ierobežojums tikai uz skolēnu pārvadāšanu; AF plāna pasākumiem ir īsāks īstenošanas termiņš; AF plāna pasākumos pašvaldības nodrošina PVN segšanu 21% apmērā, savukārt 6.1.1.6.pasākuma ietvaros minimālais nepieciešamais pašvaldību līdzfinansējums ir tikai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r w:rsidR="00000000" w:rsidRPr="00000000" w:rsidDel="00000000">
              <w:rPr>
                <w:b w:val="1"/>
                <w:rtl w:val="0"/>
              </w:rPr>
              <w:t xml:space="preserve"> precizēt pusgada ziņojuma 3.pielikumu </w:t>
            </w:r>
            <w:r w:rsidR="00000000" w:rsidRPr="00000000" w:rsidDel="00000000">
              <w:rPr>
                <w:rtl w:val="0"/>
              </w:rPr>
              <w:t xml:space="preserve">“ES fondu 2021.–2027.gada plānošanas perioda MK noteikumu par specifisko atbalsta mērķu ieviešanu izstrādes laika grafiks” atbilstoši VARAM 2023.gada 9.martā vēstulē Nr.4-5/1412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vienlīdzīgu pieeju naudas plūsmas plānu izpildei, Atveseļošanās fonda investīciju 3.1.1.1.i. un 3.1.1.2.i. plānotās finansējuma plūsmas izpildi konstatējot brīdī, kad finansējums tiek ieskaitīts finansējuma saņēmējam, nevis brīdī, kad finansējums tiek novirzīts izpildītājam.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atbildīgajām iestādēm un Centrālajai finanšu un līgumu aģentūrai atbilstoši kompetencei nodrošināt spēkā esošus investīciju īstenošanas noteikumus un projektu iesniegumu atlases ne vēlāk kā informatīvā ziņojuma 3. pielikumā iekļautajā laika grafikā norādītajos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kas minēts izziņas 45.punktā. Lūdzam </w:t>
            </w:r>
            <w:r w:rsidR="00000000" w:rsidRPr="00000000" w:rsidDel="00000000">
              <w:rPr>
                <w:b w:val="1"/>
                <w:rtl w:val="0"/>
              </w:rPr>
              <w:t xml:space="preserve">papildināt Ministru kabineta sēdes protokollēmumā 2.2.apakšpunktu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atbildīgajām iestādēm un Centrālajai finanšu un līgumu aģentūrai atbilstoši kompetencei nodrošināt spēkā esošus investīciju īstenošanas noteikumus un projektu iesniegumu atlases ne vēlāk kā informatīvā ziņojuma 3. pielikumā iekļautajā laika grafikā norādītajos termiņos. Centrālajai finanšu un līgumu aģentūrai nodrošināt pastiprinātu projektu īstenošanas uzraudzību un līgumā vai vienošanās par projekta īstenošanu paredzēt efektīvus projektos plānotā finansējuma apguves uzraudzības mehānismus, lai varētu savlaicīgi piemērot finanšu apguves risku mazinošus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