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 rezultātu vērsta budžeta veidošanas un attīstības virzieniem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13.03.2025.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13.03.2025.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