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1.punktu ar jaunu apakšpunktu, paredzot, ka noteikumi nosaka komercdarbības atbalsta piešķiršanas nosacījumus, ņemot vērā noteikumu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rosinām izdalīt noteikumu projektā atsevišķu nodaļu, kas paredz konkrētus komercdarbības atbalsta piešķiršanas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Atlases kārtas un projekta īstenošanas un uzraudzības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ka 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kā arī finansējuma saņēmējs paraksta apliecinājumu par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sadarbības iestāde finansējumu noslēgumu maksājumu veikšanai (Kohēzijas fonda finansējuma apmērā) pieprasīs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39.punktā paredzēto, lūdzam anotācijas 3.sadaļas 6.punktā pirmajā rindkopā vārdu “atmaksas” precizēt uz “noslēguma maksājumi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paredzēts apstiprināt jauna pasākuma īstenošanas noteikumus, lūdzam anotācijas 3.sadaļā 2024. un 2025.gadam ailē “saskaņā ar vidēja termiņa budžeta ietvaru” norādīto informāciju pārcelt uz aili “izmaiņas, salīdzinot ar vidēja termiņa budžeta ietvaru”, kā arī aizpildīt 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un atlases kārtas mērķis ir attīstīt atkritumu dalītas vākšanas sistēmu, sagatavošanu atkārtotai izmantošanai, pārstrādi un reģenerāciju.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kas nosaka pasākuma mērķa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kas pēc projekta iesnieguma apstiprināšanas kļūst par finansējuma saņēmēju, atlases kārtas ietvaros ir atkritumu apsaimniekotājs (komersants), kurš normatīvajos aktos noteiktajā kārtībā ir saņēmis atbilstošu atkritumu apsaimniekošanas atļauju vai atļauju A vai B kategorijas piesārņojošo darbību veikšanai, un tā darbība atbilstoši Saimniecisko darbību statistiskās klasifikācijas Eiropas Kopienā 2. redakcijai atbilst E sadaļas 38. vai 39. nodaļai: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10. punkta ievaddaļā vārdus "kļūst par finansējuma saņēmēju" ar vārdiem "ir finansējuma saņēmējs", ievērojot Eiropas Savienības fondu 2021.—2027. gada plānošanas perioda vadības likuma 1. panta 3.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 Projekta informācijas un publicitātes pasākumu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47. pantam un 50. pantam un normatīvajiem aktiem par kārtību, kādā Eiropas Savienības fondu vadībā iesaistītās institūcijas nodrošina šo fondu ieviešanu 2021.–2027. gada plānošanas periodā.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Savienības fondu regulējošajos normatīvajos aktos un praksē lietoto jēdzienu "komunikācijas un vizuālās identitātes prasību nodrošināšanas nosacījumi", lūdzam precizēt noteikumu projekta 14.2. un 13.2.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14.2. apakšpunktā minētajos normatīvajos aktos nav noteiktas attiecīgo prasību </w:t>
            </w:r>
            <w:r w:rsidR="00000000" w:rsidRPr="00000000" w:rsidDel="00000000">
              <w:rPr>
                <w:u w:val="single"/>
                <w:rtl w:val="0"/>
              </w:rPr>
              <w:t xml:space="preserve">izmaksas</w:t>
            </w:r>
            <w:r w:rsidR="00000000" w:rsidRPr="00000000" w:rsidDel="00000000">
              <w:rPr>
                <w:rtl w:val="0"/>
              </w:rPr>
              <w:t xml:space="preserve">, bet prasību </w:t>
            </w:r>
            <w:r w:rsidR="00000000" w:rsidRPr="00000000" w:rsidDel="00000000">
              <w:rPr>
                <w:u w:val="single"/>
                <w:rtl w:val="0"/>
              </w:rPr>
              <w:t xml:space="preserve">saturs</w:t>
            </w:r>
            <w:r w:rsidR="00000000" w:rsidRPr="00000000" w:rsidDel="00000000">
              <w:rPr>
                <w:rtl w:val="0"/>
              </w:rPr>
              <w:t xml:space="preserve">. Ievērojot minēto, aicinām vai nu papildināt noteikumu projektu ar atsevišķu punktu par minēto prasību ievērošanu atbilstoši attiecīgajiem normatīvajiem aktiem, vai arī papildināt noteikumu projekta 14.2. apakšpunktu aiz vārda "izmaksas" ar vārdiem "lai nodrošinātu minēto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anotāciju, tostarp salāgojot ar noteikumu projekta 14.2. apakšpunktā minēto par piemērojamiem normatīvajiem aktiem. Papildus lūdzam anotācijā norādīt, ka attiecīgās prasības tiek ievērotas atbilstoši arī Eiropas Savienības fondu 2021.–2027. gada plānošanas perioda un Atveseļošanas fonda komunikācijas un dizaina vadlīnijām.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iesniedzējs veic nepieciešamās darbības, lai nodrošinātu horizontālā principa "Nenodarīt būtisku kaitējumu", "Klimatdrošināšana", un "Vienlīdzība, iekļaušana, nediskriminācija un pamattiesību ievērošana" ievērošanu, datu uzkrāšanu un ievadi Kohēzijas politikas fondu vienotās informācijas sistēmā projekta īstenošanas un pēcuzraudzības laikā, tai skaitā piecus gadus pēc noslēguma maksājuma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15.punktu attiecinot to uz finansējuma saņēmēju un neparedzēt prasību uzkrāt datus par projekta ietekmi uz horizontālo principu īstenošanu un sniegt par tiem informāciju pēc projekta pabeigšanas. Ja svarīgi atrunāt, ka pēcuzraudzības periodā nepieciešams nodrošināt šo principu ievērošanu, ierosinām precizēt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Finansējuma saņēmējs projekta īstenošanas un pēcuzraudzības laikā ievēro šādus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projekta īstenošanas laikā uzkrāj datus un sniedz informāciju sadarbības iestādei Kohēzijas politikas fondu vadības informācijas sistēmā par projekta ietekmi uz horizontālo principu īstenošanu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saņēmējs nodrošina, ka projektā plānotās darbības netiek finansētas no citiem valsts, pašvaldības un ārvalstu finanšu atbalsta instrumentiem vai citiem publiskiem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16. punktu, nosakot, ka finansējuma saņēmējs nodrošinās dubultā finansējuma neiestāšanos.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projekta ietvaros iegādātais atkritumu dalītas savākšanas aprīkojums pastāvīgi piecus gadus tiek izmantots projekta noteikto mērķu sasniegšanai un projektā norādītā sasniedzamā dalīti vākto atkritumu daudzuma rādītāja vērtības nodrošināšanai pēc projekta noslēguma maksājuma saņemšanas;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22.1. apakšpunktu, norādot, no kura brīža tiek skaitīts piecu gadu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par līdzekļiem, par kuriem nav saņemts nekāds komercdarbības atbalsts, tiek nodrošināti sabiedrības izglītošanas un vides apziņas celšanas pasākumi vismaz piecu procentu apmērā proporcionāli realizētā projekta kopējām attiecināmajām izmaksām, ietverot informācijas sniegšanu atkritumu radītājiem drukātā, vizuālā veidā dažādos informācijas nesējos par aprites ekonomikas ieviešanas un atkritumu apsaimniekošanas pasākumu nepieciešamību (informatīvi bukleti, info grafikas, video klipi, semināri namu apsaimniekotājiem, ziņu lapas, preses relīzes, baneri un citi).   Līdzekļu izmantošanu finansējuma saņēmējs apliecina ik gadu iesniedzot atskaiti sadarbības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pēdējo teikumu, nosakot finansējuma saņēmējam konkrētākas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par līdzekļiem, par kuriem nav saņemts nekāds komercdarbības atbalsts, tiek nodrošināti sabiedrības izglītošanas un vides apziņas celšanas pasākumi vismaz piecu procentu apmērā proporcionāli realizētā projekta kopējām attiecināmajām izmaksām, ietverot informācijas sniegšanu atkritumu radītājiem drukātā, vizuālā veidā dažādos informācijas nesējos par aprites ekonomikas ieviešanas un atkritumu apsaimniekošanas pasākumu nepieciešamību (informatīvi bukleti, info grafikas, video klipi, semināri namu apsaimniekotājiem, ziņu lapas, preses relīzes, baneri un citi). Līdzekļu izmantošanu finansējuma saņēmējs apliecina, ik gadu iesniedzot atskaiti kopā ar izmaksas pamatojošiem dokumentiem sadarbības iestādē.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nodrošina, ka projekta ietvaros iegādātie pārvietojamie atkritumu dalītas savākšanas konteineri tiek uzstādīti jaunā pakalpojuma sniegšanas teritorijā projekta vērtēšanas situācijai līdzvērtīgos apstākļos, par ko atkritumu apsaimniekotājam ir noslēgts līgums;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aprakstu, kā tiks noteikts, vai izpildās noteikumu projekta 23.1. apakšpunktā noteiktais "projekta vērtēšanas situācijai līdzvērtīgos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iestādei saskaņā ar civiltiesisko līgumu ir tiesības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punkta sākumu, lai ir skaidri saprotams, uz kādu civiltiesisko līgumu ir norāde.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Ministru kabineta 2009. gada 3. februāra noteikumu Nr. 108 "Normatīvo aktu projektu sagatavošanas noteikumi" 137. punktu noteikumu projektā, ja nepieciešams, raksta atsauci, kas norāda uz normatīvajiem aktiem noteiktā jomā. Ievērojot minēto, lūdzam izteikt noteikumu projekta 24.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Sadarbības iestādei saskaņā ar civiltiesisko līgumu </w:t>
            </w:r>
            <w:r w:rsidR="00000000" w:rsidRPr="00000000" w:rsidDel="00000000">
              <w:rPr>
                <w:u w:val="single"/>
                <w:rtl w:val="0"/>
              </w:rPr>
              <w:t xml:space="preserve">par projekta īstenošanu</w:t>
            </w:r>
            <w:r w:rsidR="00000000" w:rsidRPr="00000000" w:rsidDel="00000000">
              <w:rPr>
                <w:rtl w:val="0"/>
              </w:rPr>
              <w:t xml:space="preserve"> ir tiesības projekta īstenošanas un pēcuzraudzības laikā pārbaudīt civiltiesiskajā līgumā par projekta īstenošanu sniegto informāciju, veicot pārbaudi projekta īstenošanas vietā atbilstoši normatīvajiem aktiem, kas nosaka Eiropas Savienības fondu projektu pārbaužu veikšanas kārtību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tiek pārkāptas komercdarbības atbalsta normas, kas izriet no regulas Nr. 1407/2013 prasībām, finansējuma saņēmējam ir pienākums atmaksāt sadarbības iestādei visu projekta ietvaros saņemto nelikumīgo de minimis atbalstu kopā ar procentiem no līdzekļiem, kas ir brīvi no komercdarbības atbalsta, atbilstoši Komercdarbības atbalsta kontroles likuma IV vai V nodaļas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35.punktu, lai nodrošinātu Eiropas Savienības tiesu judikatūrai atbilstošu pienākumu atgūt nelikumīgo komercdarbības atbalstu, un izteikt to, piemēram, šādā redakcijā: "Ja tiek pārkāpti regulas Nr. 1407/2013 nosacījumi, finansējuma saņēmējam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Jurijs Jenuševskis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37. punkta nepieciešamību, ņemot vērā, ka norma ir deklaratīva. Minēto informāciju var iekļaut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Pievienotās vērtības nodokļa maksājumi, kas tiešā veidā saistīti ar projektu, nav attiecināmās izmaksas. Tie nav atgūstami atbilstoši normatīvajiem aktiem par pievienotās vērtības nodokli.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38. punktu. Vēršam uzmanību, ka, ja pievienotās vērtības nodoklis nav atgūstams atbilstoši normatīvajiem aktiem nodokļu politikas jomā, tas pasākuma atbalstāmo darbību ietvaros ir attiecināms tiešajām attiecināmajām izmaksām atbilstoši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64. panta 1. punkta “c” apakšpunkta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pēcuzraudzības periodā nav veikti  vai ir veikti nepilnā apmērā šo noteikumu 22.2.pakšpunktā noteiktie sabiedrības izglītošanas pasākumi, finansējuma saņēmējam ir pienākums atmaksāt sadarbības iestādei projekta ietvaros saņemto atbalstu tādā apmērā, kā nav izpildītas pēcprojekta uzraudzības saistības, veicot finanšu korekciju.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Piedāvāta redakcija 41.punktam, kurā precizēts nosacījums un izņemts "pēcprojekta uzraudzības saistības": un "finanšu korekcija", jo tie ir Sadarbības iestādes pienākumi, uz Finansējuma saņēmēju attiecas 22.2. punktā noteiktie pienākumi.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projekta pēcuzraudzības periodā nav veikti  vai ir veikti nepilnā apmērā šo noteikumu 22.2.pakšpunktā noteiktie sabiedrības izglītošanas pasākumi, finansējuma saņēmējam ir pienākums atmaksāt sadarbības iestādei projekta ietvaros saņemto atbalstu tādā apmērā, kādā nav izpildītas saistības pēcuzraudzības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pasākuma ietvaros netiek iztērēts viss pieejamais Kohēzijas fonda finansējums, pēc atlases kārtas noslēgšanās tas tiek pārdalīts uz pasākuma otro kārtu.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42. punktu, nosakot, ka, ja pirmās atlases kārtas ietvaros netiek iztērēts viss pieejamais finansējums, ņemot vērā, ka noteikumu projekta 7. punktā norādīts pirmās atlases kārtas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plānoto investīciju ietekmi uz horizontālo principu "Energoefektivitāte pirmajā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rindkopu "Metodiku atbildīgā iestāde ievieto savā tīmekļvietnē pēc tās apstiprināšanas, bet ne vēlāk kā piecu darbdienu laikā pirms atlases kārtas izsludināšanas." ar informāciju, ka metodiku plānots izstrādāt līdz projektu iesniegum atlases uzsākšanai un ar metodiku tiks nosegtas visas izmaksas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nelietot noteikumu projektā un anotācijā metodikas nosaukumu, ņemot vērā, ka metodika vēl nav saskaņota, un pastāv iespēja, ka nosaukums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pirmās kārtas projektos ir plānota atkritumu dalītās vākšanas konteineru iegāde atbilstoši vienas vienības izmaksu metodikā noteiktajiem  konteineru veidiem.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RISINĀJUMA APRAKSTA 3.rindkopā "Finansējuma saņēmējam par līdzekļiem, par kuriem nav saņemts nekāds komercdarbības atbalsts, ir jānodrošina  sabiedrības izglītošanas un vides apziņas celšanas pasākumi vismaz piecu procentu apmērā proporcionāli realizētā projekta kopējām attiecināmajām izmaksām, ietverot informācijas sniegšanu atkritumu radītājiem drukātā, vizuālā veidā dažādos informācijas nesējos par aprites ekonomikas ieviešanas un atkritumu apsaimniekošanas pasākumu nepieciešamību (informatīvi bukleti, info grafikas, video klipi, semināri namu apsaimniekotājiem, ziņu lapas, preses relīzes, baneri un citi)" lūdzam norādīt, ka šie pasākumi jāveic pēcprojekta laikā, ti, 5 gadu laikā pēc noslēguma maksājuma veikšanas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Lucāne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sadaļu ar norādi, ka Vides aizsardzības un reģionālās attīstības ministrija pildīs atbildīgās iestādes funkcijas. Vienlaikus lūdzam papildināt ar[i anotācijas 7.1. sadaļu ar norādi uz Vides aizsardzības un reģionālās attīstības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23.11.2023. 22.43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23.11.2023. 22.43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Atzinumi_23-TA-2341.docx</dc:title>
</cp:coreProperties>
</file>

<file path=docProps/custom.xml><?xml version="1.0" encoding="utf-8"?>
<Properties xmlns="http://schemas.openxmlformats.org/officeDocument/2006/custom-properties" xmlns:vt="http://schemas.openxmlformats.org/officeDocument/2006/docPropsVTypes"/>
</file>