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Aizdevuma piešķiršanas kārtība primārās lauksaimniecības produkcijas ražotājiem kredītsaistību refinansēšanai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(Programmas “Lauksaimnieku kredītsaistību refinansēšanas aizdevumi” rādītāju novērtējums)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ka anotācijā ir nepieciešams iekļaut izvērtējumu, kas pamato izslēgšanas kritēriju, kas norādīti noteikumu projekta 19.1. un 19.2. apakšpunktos, nepieciešamību. Proti, anotācijā nepieciešams ietvert izvērtējumu un pamatojumu tam, ka lauksaimniekam pasludināts maksātnespējas process, ierosināta tiesiskās aizsardzības procesa lieta vai īstenots tiesiskās aizsardzības process ir atbilstoši un samērīgi izslēgšanas kritēriji, lai lauksaimniekam atbalsts netiktu piešķirts. Uzsveram, ka anotācijā norādītais - ka šo noteikumu projekts nosaka situācijas, kad atbalstu nepiešķir (piemēram, maksātnespējas situācijas vai neatbilstošs kredītreitings) - nenorādot uz konkrētiem apsvērumiem ar pamatojumu - nav pietiekams. Vēršam uzmanību, ka papildu apsvērumi ietverti Zemkopības ministrijai adresētajā Tieslietu ministrijas 2020. gada 25. septembra vēstulē Nr. 1-13/3096 (skat. 2. punktu), īpašu vērību pievēršot ierobežojumam daļā, kas attiecas uz tiesiskās aizsardzības procesu. Respektīvi, paredzot ierobežojumus, kas saistīti ar tiesiskās aizsardzības procesu vai maksātnespējas procesu, tie ir īpaši jāizvērtē un jāpamato arī gadījumos, ja ierobežojums jau ir paredzēts Eiropas Savienības vai starptautiskajos tiesību aktos, lai Latvija tādējādi nepārkāptu citas Eiropas Savienības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Adrija Korsakaite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minētā finansējuma 5 000 000 </w:t>
            </w:r>
            <w:r w:rsidR="00000000" w:rsidRPr="00000000" w:rsidDel="00000000">
              <w:rPr>
                <w:i w:val="1"/>
                <w:rtl w:val="0"/>
              </w:rPr>
              <w:t xml:space="preserve">euro</w:t>
            </w:r>
            <w:r w:rsidR="00000000" w:rsidRPr="00000000" w:rsidDel="00000000">
              <w:rPr>
                <w:rtl w:val="0"/>
              </w:rPr>
              <w:t xml:space="preserve"> prioritāri 30 dienas no dienas, kad uzsākta iesniegumu pieņemšana, piešķir lauksaimniekiem, kas nodarbojas ar lauksaimniecības produktu primāro ražošanu Augšdaugavas, Daugavpils, Krāslavas, Preiļu, Līvānu, Rēzeknes, Ludzas, Balvu un Alūksnes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minēts, ka  vienādotai terminoloģijai visā noteikumu projektā lieto vārdu “pieteikums”, tomēr noteikumu projektā joprojām tiek lietots arī termins "iesniegums" tādēļ lūdzam atbilstoši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26-TA-992</w:t>
    </w:r>
    <w:r>
      <w:br/>
    </w:r>
    <w:r w:rsidR="00000000" w:rsidRPr="00000000" w:rsidDel="00000000">
      <w:rPr>
        <w:rtl w:val="0"/>
      </w:rPr>
      <w:t xml:space="preserve">Izdrukāts 29.07.2026. 17.07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26-TA-992</w:t>
    </w:r>
    <w:r>
      <w:br/>
    </w:r>
    <w:r w:rsidR="00000000" w:rsidRPr="00000000" w:rsidDel="00000000">
      <w:rPr>
        <w:rtl w:val="0"/>
      </w:rPr>
      <w:t xml:space="preserve">Izdrukāts 29.07.2026. 17.07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Atzinumi_26-TA-992.docx</dc:title>
</cp:coreProperties>
</file>

<file path=docProps/custom.xml><?xml version="1.0" encoding="utf-8"?>
<Properties xmlns="http://schemas.openxmlformats.org/officeDocument/2006/custom-properties" xmlns:vt="http://schemas.openxmlformats.org/officeDocument/2006/docPropsVTypes"/>
</file>