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24-TA-2008: Instrukcijas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īsteno atbalsta pasākumus nozaru vajadzībās balstītai darba devēju darbinieku profesionālajai pilnveidei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finansējama saņēmējs – sīkais (mikro), mazais un vidējais komersants,  biedrības un nodibinājums, pētniecības un zināšanu izplatīšanas organizācijas, publiskas personas kapitālsabiedrības, kas ir projekta iesniedzējs un saņem, publisku finansējumu atbalsta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instrukcijas projektā ir pieminēta pētniecības un zināšanu izplatīšanas organizācija, aicinām instrukcijas projektu papildināt arī ar šīs definīcijas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Ministrija atbalsta pasākuma ietvaros normatīvajā regulējumā ietver vismaz šādus atbilstības kritērijus darba devējam: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instrukcijas  mērķis ir noteikt kārtību, kādā tiek sagatavoti un saskaņoti atbalsta pasākumi darba devējiem darbinieku profesionālajai pilnveidei un papildu izglītošanai, kas attiecīgi nozīmē, ka šī instrukcija nav uzskatāma par atbalsta programmu Komercdarbības atbalsta kontroles likuma 1.panta otrās daļas 3.punkta izpratnē un, ka, balstoties uz šajā instrukcijas projektā minēto atbildīgās nozares ministrijas izstrādās konkrētu atbalsta programmu normatīvo regulējumu, nav skaidrs, kādēļ instrukcijas projekta 10.1. un 10.2. apakšpunktā ir iekļauti divi atsevišķi nosacījumi no Komisijas Regulas Nr. 651/2014. Skaidrojam, ka, izstrādājot atbalsta programmas, to izstrādātājiem, pirmkārt, būs nepieciešams izvērtēt, vai plānotais atbalsta pasākums būs kvalificējams kā komercdarbības atbalsts (visos publiskā finansējuma saņēmēju līmeņos, t.sk. arī biedrību un asociāciju) un, otrkārt, ja tas kādā vai visos līmeņos būs kvalificējams kā komercdarbības atbalsts, tad, atbilstoši plānotajiem mērķiem, attiecināmajām izmaksām un plānotajam atbalsta apmēram, būs nepieciešams konkrētās atbalsta programmas normatīvajā regulējumā iekļaut atbilstoša komercdarbības atbalsta regulējuma nosacījumus. Līdz ar to lūdzam svītrot instrukcijas 10.1. un 10.2. apakšpunktus to pašreizējās redakcijās, vienlaikus papildinot 10.punktu ar vispārēju nosacījumu, ka ministrija atbalsta pasākuma normatīvajā regulējumā ietver komercdarbības atbalsta kontroles regulējuma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Ja atbalsta pasākumu īstenošanu nodrošina ministrija, tās pienākums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 instrukcijas projekta ir saprotams, ka atbalsta pasākumu ieviešanā atbildīgās institūcijas vienmēr būs ministrijas, nevis, piemēram, pašvaldības, lūdzam precizēt instrukcijas projekta 15.punktu, lai no normas būtu viennozīmīgi skaidrs, ka atbalsta pasākumu ieviešanā atbildīgās institūcijas vienmēr būs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Atbalsta pasākuma ietvaros ministrija šīs instrukcijas </w:t>
            </w:r>
            <w:r w:rsidR="00000000" w:rsidRPr="00000000" w:rsidDel="00000000">
              <w:rPr>
                <w:rtl w:val="0"/>
              </w:rPr>
              <w:t xml:space="preserve">15.1. </w:t>
            </w:r>
            <w:r w:rsidR="00000000" w:rsidRPr="00000000" w:rsidDel="00000000">
              <w:rPr>
                <w:rtl w:val="0"/>
              </w:rPr>
              <w:t xml:space="preserve">apakšpunktā</w:t>
            </w:r>
            <w:r w:rsidR="00000000" w:rsidRPr="00000000" w:rsidDel="00000000">
              <w:rPr>
                <w:rtl w:val="0"/>
              </w:rPr>
              <w:t xml:space="preserve">  minētā normatīvā regulējuma ietvaros iekļauj šādus pienākums: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daļa no instrukcijas projekta 16.punktā minētajiem pienākumiem attiecas uz atbalsta pasākumos ieviešamajām prasībām, kas jau uzskaitītas instrukcijas projekta 10. punktā, aicinām pārskatīt instrukcijas projektu un apvienot attiecīgās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Atbalsta pasākuma ietvaros ministrija šīs instrukcijas </w:t>
            </w:r>
            <w:r w:rsidR="00000000" w:rsidRPr="00000000" w:rsidDel="00000000">
              <w:rPr>
                <w:rtl w:val="0"/>
              </w:rPr>
              <w:t xml:space="preserve">15.1. </w:t>
            </w:r>
            <w:r w:rsidR="00000000" w:rsidRPr="00000000" w:rsidDel="00000000">
              <w:rPr>
                <w:rtl w:val="0"/>
              </w:rPr>
              <w:t xml:space="preserve">apakšpunktā</w:t>
            </w:r>
            <w:r w:rsidR="00000000" w:rsidRPr="00000000" w:rsidDel="00000000">
              <w:rPr>
                <w:rtl w:val="0"/>
              </w:rPr>
              <w:t xml:space="preserve">  minētā normatīvā regulējuma ietvaros iekļauj šādus pienākums: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izstrādātajās atbalsta programmās vai pasākumos tiek ievēroti arī  komercdarbības atbalsta kontroles regulējuma nosacījumi, lūdzam papildināt instrukcijas projektu 16.punktu ar papildus nosacījumu, ka, izstrādājot atbalsta pasākumus, ministrija attiecīgā normatīvā regulējuma ietvaros nodrošinās attiecīgā komercdarbības atbalsta regulējuma piemērošanu, ja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Ekonomikas ministrijai sagatavot atbildi uz Eiropas Komisijas 2024.gada 10.jūnija e-pastu par 57.atskaites punkta izpildi un iesniegt Finanšu ministrijā kopā ar aktuālajām instrukcijas un anotācijas redakcijām iesniegšanai atkārtotai saskaņošanai Eiropas Komisijā. Atbildes Eiropas Komisijai lūgums gatavot angļu valodā, instrukcijas un anotācijas failus vēlams sagatavot angļu valodā, bet, lai paātrinātu saskaņošanas gaitu, dokumenti var būt arī bez tulkojuma.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Instrukcijā lietoti šādi termini: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instrukcijas projekta 2.1.apakšpunktā vārdus "valsts īstenotie pasākumi", ņemot vēra, ka anotācijā minēts, ka atbalsta pasākumi tiks īstenoti no dažādiem finanšu avotiem, t.sk. tos īstenos dažādi finansējuma saņēmēji gan no valsts, gan privātā/nevalstiskā sektora. Tādējādi lūdzam precizēt arī instrukcijas projekta 2.3.apakšpunktā minētos finansējuma saņēmēju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iespēju precizēt instrukcijas projekta tvērumu, ņemot vērā, ka Cilvēkkapitāla attīstības stratēģija ietver plašāku pasākumu klāstu pieaugušo izglītības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Ministrijas nodrošina, ka atbalsta pasākumos var piedalīties darba devējs, kas ir Latvijas Republikas Uzņēmumu reģistrā reģistrēts komersants, kas atbilst sīkā (mikro), mazā un vidējā komersanta statusam saskaņā ar Eiropas Komisijas 2014. gada 17. jūnija Regulas (ES) Nr. 651/2014, ar ko noteiktas atbalsta kategorijas atzīst par saderīgām ar iekšējo tirgu, piemērojot Līguma 107. un 108. pantu (turpmāk – Komisijas regula Nr. 651/2014) 2. panta 2. punktu vai lielā komersanta statusam saskaņā ar Regulas Nr. 651/2014 2. panta 24. punktā noteikto definīciju, un pašnodarbināta persona un paredz nodrošināt darbiniekam, kas ir pašnodarbināta persona vai darba devēja nodarbinātā persona, kura ir sasniegusi 18 gadu vecumu un kuriem ir noslēgts darba līgums ar darba devēju, prasmju pilnveidi.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instrukcijas projekta 3.punktu pārcelt uz instrukcijas projekta 2.punktu, ņemot vēra, ka šeit tiek definēts darba devējs. Vienlaikus lūdzam papildināt darba devēja definīciju, izvērtējot, vai atsevišķos atbalsta pasākumos darba devējs var būt valsts vai pašvaldību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Ministrijām, izstrādājot atbalsta pasākumus saistībā ar prasmju pilnveidi, izvērtēt un iekļaut noteikumu projektā  turpmāk minēto: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instrukcijas projekta 7.1.apakšpunktu ar pienākumu nodrošināt demarkāciju un finansējuma nepārklāšanos ar citām investīcijām.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Atbalsta pasākuma atbalsta mērķa grupu, atbalsta pasākuma veidu, pieejamo finansējumu, ja attiecas, atlases kritērijus komercdarbības atbalsta piešķiršanas saistītos nosacījumus, datu apjomu un citus nosacījumus, ņemot vērā plānotā atbalsta pasākuma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instrukcijas projekta 7.1.apakšpunktu, precizējot uz kuru teksta daļu ir attiecināmi vārdi: "ja attiecas" - uz pieejamo finansējumu vai atlases kritērijus komercdarbības atbalsta piešķiršanai.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Ministrija atbalsta pasākumus var īstenot, organizējot atbalsta pasākumu ietvaros finansējuma saņēmēju atlasi vai ievērojot noteikto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instrukcijas projekta 9.punktu ar informāciju, ka attiecībā uz Eiropas Savienības fondu (turpmāk - ES fondu) investīcijām atbalsta pasākumu un finansējuma saņēmēju atlase norit ievērojot ES fondu horizontālos nosacījumus un procedūras.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Lai īstenotu saskaņotu starpresoru sadarbību un lēmumu pieņemšanu nepieciešamo darba tirgus pārkārtojumu plānošanā, izstrādē, ieviešanā un uzraudzībā, Ministrija, sagatavotos atbalsta pasākums iesniedz izskatīšanai Cilvēkkapitāla attīstības padomē (turpmāk – Padome).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papildināt instrukcijas projekta 11.punktu ar informāciju par kārtību, kādā ministrijas iesniedz sagatavotos atbalsta pasākumus izskatīšanai Cilvēkkapitāla attīstības padomē (turpmāk - Padome), t.sk. norādot, kurā brīdī nepieciešams Padomes saskaņojums/rekomendācija, attiecībā uz ES fondu un Atveseļošanas fonda investīcijām, ņemot vēra, ka ES fondu investīciju nosacījumi tiek skaņoti gan ES fondu Uzraudzības komitejā (attiecībā uz atlases kritērijiem), gan tiesību aktu portālā (attiecībā uz Ministru kabineta noteikumu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aprakstīt anotācijā, kādā mērā instrukcijas projektā iekļautā skaņošanas kārtība ar Padomi attieksies uz jau Ministru kabinetā apstiprinātajām ES fondu investīcijām, piemēram, ES kohēzijas politikas programmas 2021.-2027.gadam 4.2.4.1.pasākuma 1.kārtu un 4.2.4.2.pasākumu, un īstenošanā esošiem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noteikt, izskatīt, apstiprināt un aktualizēt Ekonomikas ministrijas, Izglītības un zinātnes ministrijas un Labklājības ministrijas atbildībā esošo publiski finansēto pieaugušo izglītības atbalsta pasākumu prioritāri atbalstāmās mērķa grupas, mācību virzienus un jomas, izglītības programmas vai plānotos mācību kursus, nepieciešamības gadījumā nosakot mācību apjomu un prioritāri apgūstamās prasmes, kā arī citus atbalsta pasākumus nodarbināto, bezdarbnieku, darba meklētāju un bezdarba riskam pakļauto personu konkurētspējas veicināšanai darba tirgū, saskaņā ar cilvēkkapitāla attīstības stratēģiskajiem mērķiem, darba tirgus un tautsaimniecības nozaru attīstības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instrukcijas projekta 13.1.apakšpunktu ar vārdu "rosināt" vai vārdiem "sniegt priekšlikumus" attiecībā uz apstiprināšanu un aktualizēšanu, līdzīgi kā noteikts citos punktos par komisijas uzdevumiem.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Informāciju par atbalsta pasākumā iekļautajām nozarēm vai mācību jomām nozaru ministrijas iesniedz šīs instrukcijas</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minētajai komisijai, kas  izvērtē iepriekšējā kalendārā gadā sniegtās mācības, un nepieciešamības gadījumā pieņem lēmumu par mācību jomu aizliegšanu vai papildināšanu, ja neatbilst tautsaimniecības nozaru attīstības nepieciešamībai.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instrukcijas projekta 14.punktu, norādot, ka komisija sniedz priekšlikumus Padomei (nevis pieņem lēmumu) atbilstoši instrukcijas projekta 13.4.apakšpunktā minētajam.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precizēt instrukcijas projekta punktu, lai viennozīmīgi būtu saprotams, ka komisijas rekomendācijas par mācību jomām attiecas uz nākamo mācību sniegšanas periodu.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ietvert skaidrojumu par Darba likuma 96. pantā paredzēto speciālu kārtību, kādā notiek darbinieka profesionālā apmācība vai kvalifikācijas paaugstināšana, apmācības izdevumu apmaksa, atlīdzināšanas apmērs, termiņi u. c.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skaidrot Darba likuma 74. panta pirmās daļas 3. punktā noteikto, ka darba devējam ir pienākums izmaksāt šā panta trešajā daļā noteikto atlīdzību (darba algu), ja darbinieks neveic darbu attaisnojošu iemeslu dēļ, tai skaitā, kad darbinieks, pamatojoties uz attiecīgu darba devēja rīkojumu, darba laika ietvaros piedalās profesionālajā apmācībā vai kvalifikācijas paaugstināšanā.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ieskatā minētais Darba likuma regulējums ir cieši saistīta ar šo instrukcijas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precizēt norādīto Ministru kabineta 2024. gada 7. maija noteikumu Nr. 283 “Eiropas Savienības Kohēzijas politikas programmas 2021.–2027. gadam 4.2.4. 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4.2.4.2 pasākuma “Atbalsts pieaugušo individuālajās vajadzībās balstītai pieaugušo izglītībai” </w:t>
            </w:r>
            <w:r w:rsidR="00000000" w:rsidRPr="00000000" w:rsidDel="00000000">
              <w:rPr>
                <w:u w:val="single"/>
                <w:rtl w:val="0"/>
              </w:rPr>
              <w:t xml:space="preserve">īstenošanas noteikumi"</w:t>
            </w:r>
            <w:r w:rsidR="00000000" w:rsidRPr="00000000" w:rsidDel="00000000">
              <w:rPr>
                <w:rtl w:val="0"/>
              </w:rPr>
              <w:t xml:space="preserve">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un funkciju sadalījumu starp Padomi un komisiju, kā arī aprakstīt to iesaisti pieaugušo izglītības projektos (jo īpaši jau apstiprinātos ES fondu projektos), t.sk. regularitāti, kādā tiks nodrošināta informācijas apmaiņa starp īstenošanā esošajiem projektiem un Padomi/komisiju.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norādīts, ka pēc Eiropas struktūrfondu finansējuma, plānots, ka Ekonomikas ministrija, Izglītības un zinātnes ministrija, Labklājības ministrija </w:t>
            </w:r>
            <w:r w:rsidR="00000000" w:rsidRPr="00000000" w:rsidDel="00000000">
              <w:rPr>
                <w:u w:val="single"/>
                <w:rtl w:val="0"/>
              </w:rPr>
              <w:t xml:space="preserve">vai jebkura valsts vai pašvaldības iestāde</w:t>
            </w:r>
            <w:r w:rsidR="00000000" w:rsidRPr="00000000" w:rsidDel="00000000">
              <w:rPr>
                <w:rtl w:val="0"/>
              </w:rPr>
              <w:t xml:space="preserve"> var veikt pieprasījumu valsts budžeta prioritātēs </w:t>
            </w:r>
            <w:r w:rsidR="00000000" w:rsidRPr="00000000" w:rsidDel="00000000">
              <w:rPr>
                <w:u w:val="single"/>
                <w:rtl w:val="0"/>
              </w:rPr>
              <w:t xml:space="preserve">vai arī MKN projekta īstenošanas laikā</w:t>
            </w:r>
            <w:r w:rsidR="00000000" w:rsidRPr="00000000" w:rsidDel="00000000">
              <w:rPr>
                <w:rtl w:val="0"/>
              </w:rPr>
              <w:t xml:space="preserve">. Ņemot vērā, ka pieteikumus prioritārajiem pasākumiem var iesniegt </w:t>
            </w:r>
            <w:r w:rsidR="00000000" w:rsidRPr="00000000" w:rsidDel="00000000">
              <w:rPr>
                <w:u w:val="single"/>
                <w:rtl w:val="0"/>
              </w:rPr>
              <w:t xml:space="preserve">tikai ministrijas un citas centrālās valsts iestādes, turklāt tikai budžeta sagatavošanas procesā,</w:t>
            </w:r>
            <w:r w:rsidR="00000000" w:rsidRPr="00000000" w:rsidDel="00000000">
              <w:rPr>
                <w:rtl w:val="0"/>
              </w:rPr>
              <w:t xml:space="preserve"> lūdzam precizēt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 Pašreizējā situācija, problēmas un risinājumi” aprakstot atbalsta pasākumus, kas tiek veikti, lai ieviestu OECD ieteikumus un nodrošinātu ilgtspējīgu reformu darba devēju darbinieku prasmju pilnveidē 2.punktā ir minēts “Nodokļu atbrīvojums augstākās izglītības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šajā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Veikt tehnisku precizējumu un korekti norādīt likuma “Par iedzīvotāju ienākuma nodokli” nosaukumu, liekot to pēdiņās;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pēdējo rindkopu, izsakot to šādā redakcijā: “Ar veiktajiem grozījumiem, kas atbrīvo no aplikšanas ar nodokļiem (algas nodokļa un valsts sociālās apdrošināšanas obligātajām iemaksām) darba devēja maksājumus darbiniekam par augstākās izglītības iegūšanu, tiek veicināta augstākās izglītības sasaiste ar darba tirgu un darba devējam nodrošināts papildus stimuls celt savu darbinieku kvalifikāciju.”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Kemzāne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projekta izpildē iesaistītās institūcijas anotācijas 7.1.sadaļā būtu jānorāda visas, kuras instrukcijas projekts skar.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24-TA-2008</w:t>
    </w:r>
    <w:r>
      <w:br/>
    </w:r>
    <w:r w:rsidR="00000000" w:rsidRPr="00000000" w:rsidDel="00000000">
      <w:rPr>
        <w:rtl w:val="0"/>
      </w:rPr>
      <w:t xml:space="preserve">Izdrukāts 09.09.2024. 09.32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24-TA-2008</w:t>
    </w:r>
    <w:r>
      <w:br/>
    </w:r>
    <w:r w:rsidR="00000000" w:rsidRPr="00000000" w:rsidDel="00000000">
      <w:rPr>
        <w:rtl w:val="0"/>
      </w:rPr>
      <w:t xml:space="preserve">Izdrukāts 09.09.2024. 09.32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Atzinumi_24-TA-2008.docx</dc:title>
</cp:coreProperties>
</file>

<file path=docProps/custom.xml><?xml version="1.0" encoding="utf-8"?>
<Properties xmlns="http://schemas.openxmlformats.org/officeDocument/2006/custom-properties" xmlns:vt="http://schemas.openxmlformats.org/officeDocument/2006/docPropsVTypes"/>
</file>