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patērētāju informēšanu par transporta enerģijas veidu un sastāvu, par transporta enerģijas salīdzināmām cenām un to aprēķināšanas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Speciālo atļauju (licenci) komercdarbībai ar akcīzes precēm (naftas produktiem) un speciālo atļauju (licenci) komercdarbībai ar akcīzes precēm (dabasgāzi) vai tās kopiju publiski pieejamā transporta enerģijas tirdzniecības vietā izvieto saskaņā ar normatīvajiem aktiem par akcīzes preču aprites kārtību. Speciālās atļaujas (licences) oriģinālu pēc patērētāja pieprasījuma var uzrādīt arī elektroniskā dokumenta, kas parakstīts ar drošu elektronisko parakstu un laika zīmogu,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saskaņošanā ir noteikumu projekts “Grozījumi Ministru kabineta 2005. gada 30. augusta noteikumos Nr. 662 “Akcīzes preču aprites kārtība”” (turpmāk – noteikumu projekts). Ar noteikumu projektu administratīvā sloga akcīzes preču apritē iesaistītajiem komersantiem mazināšanas nolūkā, ievērojot, ka informācija par komersantiem izsniegtajām speciālajām atļaujām (licencēm) ir pieejama Valsts ieņēmumu dienesta publiskojamo datu bāzē un Latvijas Atvērto datu portālā un patērētājiem ir iespēja pārliecināties par attiecīgajam komersantam izsniegtajām speciālajām atļaujām (licencēm) attiecīgajā darbības vietā,  ir paredzēts atcelt prasību speciālās atļaujas (licences) pirmo lapu un speciālās atļaujas (licences) pielikumu, kurā norādīta attiecīgā darbības vieta (oriģinālu vai komersanta apliecinātu kopiju) novietot degvielas un tabakas izstrādājumu tirdzniecības vietā, patērētājiem redzamā vietā. Ievērojot minēto, lūdzam, precizēt noteikumu projekta 8.punktu un attiecīgi anotāciju, svītrojot atsauci uz normatīvajiem aktiem par akcīzes preču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Rudzīte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nepieciešamais finansējums Energoresursu informācijas sistēmas pilnveidei tiks nodrošināts arī no Klimata un enerģētikas ministrijas budžeta programmas 97.00.00 “Nozaru vadība un politikas plānošana”, ņemot vērā informatīvo ziņojumu "Pasākumi elektroenerģijas tirgus attīstībai" un Ministru kabineta 2024.gada 10.oktobra protokola Nr. 42 6.§ 6.2.3.apakšpunktu. Norādām, ka minētā protokola apakšpunktā ir noteikts finansējums Ekonomikas ministrijai,  attiecīgi lūdzam izvērtēt un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19.01.2026.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19.01.2026.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Atzinumi_22-TA-2906.docx</dc:title>
</cp:coreProperties>
</file>

<file path=docProps/custom.xml><?xml version="1.0" encoding="utf-8"?>
<Properties xmlns="http://schemas.openxmlformats.org/officeDocument/2006/custom-properties" xmlns:vt="http://schemas.openxmlformats.org/officeDocument/2006/docPropsVTypes"/>
</file>