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22-TA-2110: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Biobanku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likumprojekts ietver jaunu regulējumu, kas potenciāli var skart plašu iedzīvotāju loku un to dzīvībai un veselībai būtiskus jautājumus, kā arī personu neaizskaramību un datu aizsardzību, lūdzu izvērtēt nepieciešamību veikt likuma ex-post novērtējumu pēc 3 darbības gadiem. Pēcpārbaudes novērtējumā noskaidro likuma mērķa sasniegšanu un ietekmi uz mērķa grupām. Saskaņā ar Ministru kabineta noteikumu Nr.617 "Tiesību akta sākotnējās ietekmes novērtēšanas kārtība" 20.punktu (MK 16.07. sēdē atbalstītajā redakcijā, TA-3330), ja projektam paredzēta tiesību akta pēcpārbaudes ietekmes (ex-post) izvērtēšana, šo informāciju iekļauj anotācijā, norādot pamatojumu, termiņu, kā arī projekta mērķa sasniegšanas rezultātus un to vērtēšanas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19.07.2024. 11.43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19.07.2024. 11.43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Atzinumi_22-TA-2110.docx</dc:title>
</cp:coreProperties>
</file>

<file path=docProps/custom.xml><?xml version="1.0" encoding="utf-8"?>
<Properties xmlns="http://schemas.openxmlformats.org/officeDocument/2006/custom-properties" xmlns:vt="http://schemas.openxmlformats.org/officeDocument/2006/docPropsVTypes"/>
</file>